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-120650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360" w:right="360" w:hanging="339"/>
        <w:spacing w:after="0" w:line="227" w:lineRule="auto"/>
        <w:tabs>
          <w:tab w:leader="none" w:pos="3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360" w:right="360" w:hanging="339"/>
        <w:spacing w:after="0" w:line="235" w:lineRule="auto"/>
        <w:tabs>
          <w:tab w:leader="none" w:pos="3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4" w:lineRule="exact"/>
        <w:rPr>
          <w:sz w:val="24"/>
          <w:szCs w:val="24"/>
          <w:color w:val="auto"/>
        </w:rPr>
      </w:pPr>
    </w:p>
    <w:tbl>
      <w:tblPr>
        <w:tblLayout w:type="fixed"/>
        <w:tblInd w:w="51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b w:val="1"/>
                <w:bCs w:val="1"/>
                <w:color w:val="auto"/>
                <w:w w:val="93"/>
              </w:rPr>
              <w:t>For the transition period from</w:t>
            </w:r>
          </w:p>
        </w:tc>
        <w:tc>
          <w:tcPr>
            <w:tcW w:w="620" w:type="dxa"/>
            <w:vAlign w:val="bottom"/>
            <w:tcBorders>
              <w:bottom w:val="single" w:sz="8" w:color="auto"/>
            </w:tcBorders>
          </w:tcPr>
          <w:p>
            <w:pPr>
              <w:spacing w:after="0"/>
              <w:rPr>
                <w:sz w:val="17"/>
                <w:szCs w:val="17"/>
                <w:color w:val="auto"/>
              </w:rPr>
            </w:pPr>
          </w:p>
        </w:tc>
        <w:tc>
          <w:tcPr>
            <w:tcW w:w="410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31"/>
        </w:trPr>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gridSpan w:val="6"/>
          </w:tcPr>
          <w:p>
            <w:pPr>
              <w:jc w:val="center"/>
              <w:ind w:right="3163"/>
              <w:spacing w:after="0"/>
              <w:rPr>
                <w:sz w:val="20"/>
                <w:szCs w:val="20"/>
                <w:color w:val="auto"/>
              </w:rPr>
            </w:pPr>
            <w:r>
              <w:rPr>
                <w:rFonts w:ascii="Arial" w:cs="Arial" w:eastAsia="Arial" w:hAnsi="Arial"/>
                <w:sz w:val="18"/>
                <w:szCs w:val="18"/>
                <w:b w:val="1"/>
                <w:bCs w:val="1"/>
                <w:color w:val="auto"/>
                <w:w w:val="90"/>
              </w:rPr>
              <w:t>Commission file number: 001-36740</w:t>
            </w:r>
          </w:p>
        </w:tc>
      </w:tr>
      <w:tr>
        <w:trPr>
          <w:trHeight w:val="203"/>
        </w:trPr>
        <w:tc>
          <w:tcPr>
            <w:tcW w:w="3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spacing w:after="0"/>
              <w:rPr>
                <w:sz w:val="17"/>
                <w:szCs w:val="17"/>
                <w:color w:val="auto"/>
              </w:rPr>
            </w:pPr>
          </w:p>
        </w:tc>
        <w:tc>
          <w:tcPr>
            <w:tcW w:w="8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569"/>
        </w:trPr>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gridSpan w:val="6"/>
          </w:tcPr>
          <w:p>
            <w:pPr>
              <w:jc w:val="center"/>
              <w:ind w:right="3163"/>
              <w:spacing w:after="0"/>
              <w:rPr>
                <w:sz w:val="20"/>
                <w:szCs w:val="20"/>
                <w:color w:val="auto"/>
              </w:rPr>
            </w:pPr>
            <w:r>
              <w:rPr>
                <w:rFonts w:ascii="Arial" w:cs="Arial" w:eastAsia="Arial" w:hAnsi="Arial"/>
                <w:sz w:val="43"/>
                <w:szCs w:val="43"/>
                <w:b w:val="1"/>
                <w:bCs w:val="1"/>
                <w:color w:val="auto"/>
              </w:rPr>
              <w:t>FIBROGEN, INC.</w:t>
            </w:r>
          </w:p>
        </w:tc>
      </w:tr>
      <w:tr>
        <w:trPr>
          <w:trHeight w:val="234"/>
        </w:trPr>
        <w:tc>
          <w:tcPr>
            <w:tcW w:w="3060" w:type="dxa"/>
            <w:vAlign w:val="bottom"/>
          </w:tcPr>
          <w:p>
            <w:pPr>
              <w:spacing w:after="0"/>
              <w:rPr>
                <w:sz w:val="20"/>
                <w:szCs w:val="20"/>
                <w:color w:val="auto"/>
              </w:rPr>
            </w:pPr>
          </w:p>
        </w:tc>
        <w:tc>
          <w:tcPr>
            <w:tcW w:w="7180" w:type="dxa"/>
            <w:vAlign w:val="bottom"/>
            <w:gridSpan w:val="7"/>
          </w:tcPr>
          <w:p>
            <w:pPr>
              <w:jc w:val="center"/>
              <w:ind w:right="2963"/>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03"/>
        </w:trPr>
        <w:tc>
          <w:tcPr>
            <w:tcW w:w="3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389"/>
        </w:trPr>
        <w:tc>
          <w:tcPr>
            <w:tcW w:w="3060" w:type="dxa"/>
            <w:vAlign w:val="bottom"/>
          </w:tcPr>
          <w:p>
            <w:pPr>
              <w:jc w:val="center"/>
              <w:ind w:left="1379"/>
              <w:spacing w:after="0"/>
              <w:rPr>
                <w:sz w:val="20"/>
                <w:szCs w:val="20"/>
                <w:color w:val="auto"/>
              </w:rPr>
            </w:pPr>
            <w:r>
              <w:rPr>
                <w:rFonts w:ascii="Arial" w:cs="Arial" w:eastAsia="Arial" w:hAnsi="Arial"/>
                <w:sz w:val="18"/>
                <w:szCs w:val="18"/>
                <w:b w:val="1"/>
                <w:bCs w:val="1"/>
                <w:color w:val="auto"/>
                <w:w w:val="91"/>
              </w:rPr>
              <w:t>Delaware</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00" w:type="dxa"/>
            <w:vAlign w:val="bottom"/>
            <w:gridSpan w:val="3"/>
          </w:tcPr>
          <w:p>
            <w:pPr>
              <w:jc w:val="right"/>
              <w:ind w:right="1743"/>
              <w:spacing w:after="0"/>
              <w:rPr>
                <w:sz w:val="20"/>
                <w:szCs w:val="20"/>
                <w:color w:val="auto"/>
              </w:rPr>
            </w:pPr>
            <w:r>
              <w:rPr>
                <w:rFonts w:ascii="Arial" w:cs="Arial" w:eastAsia="Arial" w:hAnsi="Arial"/>
                <w:sz w:val="18"/>
                <w:szCs w:val="18"/>
                <w:b w:val="1"/>
                <w:bCs w:val="1"/>
                <w:color w:val="auto"/>
              </w:rPr>
              <w:t>77-0357827</w:t>
            </w:r>
          </w:p>
        </w:tc>
      </w:tr>
      <w:tr>
        <w:trPr>
          <w:trHeight w:val="148"/>
        </w:trPr>
        <w:tc>
          <w:tcPr>
            <w:tcW w:w="6140" w:type="dxa"/>
            <w:vAlign w:val="bottom"/>
            <w:gridSpan w:val="5"/>
          </w:tcPr>
          <w:p>
            <w:pPr>
              <w:jc w:val="center"/>
              <w:ind w:right="16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60" w:type="dxa"/>
            <w:vAlign w:val="bottom"/>
          </w:tcPr>
          <w:p>
            <w:pPr>
              <w:jc w:val="center"/>
              <w:ind w:right="1243"/>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40" w:type="dxa"/>
            <w:vAlign w:val="bottom"/>
            <w:gridSpan w:val="5"/>
          </w:tcPr>
          <w:p>
            <w:pPr>
              <w:jc w:val="center"/>
              <w:ind w:right="1620"/>
              <w:spacing w:after="0"/>
              <w:rPr>
                <w:sz w:val="20"/>
                <w:szCs w:val="20"/>
                <w:color w:val="auto"/>
              </w:rPr>
            </w:pPr>
            <w:r>
              <w:rPr>
                <w:rFonts w:ascii="Arial" w:cs="Arial" w:eastAsia="Arial" w:hAnsi="Arial"/>
                <w:sz w:val="14"/>
                <w:szCs w:val="14"/>
                <w:b w:val="1"/>
                <w:bCs w:val="1"/>
                <w:color w:val="auto"/>
                <w:w w:val="94"/>
              </w:rPr>
              <w:t>Incorporation or Organization)</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60" w:type="dxa"/>
            <w:vAlign w:val="bottom"/>
          </w:tcPr>
          <w:p>
            <w:pPr>
              <w:jc w:val="center"/>
              <w:ind w:right="1263"/>
              <w:spacing w:after="0"/>
              <w:rPr>
                <w:sz w:val="20"/>
                <w:szCs w:val="20"/>
                <w:color w:val="auto"/>
              </w:rPr>
            </w:pPr>
            <w:r>
              <w:rPr>
                <w:rFonts w:ascii="Arial" w:cs="Arial" w:eastAsia="Arial" w:hAnsi="Arial"/>
                <w:sz w:val="14"/>
                <w:szCs w:val="14"/>
                <w:b w:val="1"/>
                <w:bCs w:val="1"/>
                <w:color w:val="auto"/>
                <w:w w:val="96"/>
              </w:rPr>
              <w:t>Identification No.)</w:t>
            </w:r>
          </w:p>
        </w:tc>
      </w:tr>
      <w:tr>
        <w:trPr>
          <w:trHeight w:val="385"/>
        </w:trPr>
        <w:tc>
          <w:tcPr>
            <w:tcW w:w="3060" w:type="dxa"/>
            <w:vAlign w:val="bottom"/>
          </w:tcPr>
          <w:p>
            <w:pPr>
              <w:jc w:val="center"/>
              <w:ind w:left="1379"/>
              <w:spacing w:after="0"/>
              <w:rPr>
                <w:sz w:val="20"/>
                <w:szCs w:val="20"/>
                <w:color w:val="auto"/>
              </w:rPr>
            </w:pPr>
            <w:r>
              <w:rPr>
                <w:rFonts w:ascii="Arial" w:cs="Arial" w:eastAsia="Arial" w:hAnsi="Arial"/>
                <w:sz w:val="18"/>
                <w:szCs w:val="18"/>
                <w:b w:val="1"/>
                <w:bCs w:val="1"/>
                <w:color w:val="auto"/>
                <w:w w:val="91"/>
              </w:rPr>
              <w:t>409 Illinois Street</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12"/>
        </w:trPr>
        <w:tc>
          <w:tcPr>
            <w:tcW w:w="3060" w:type="dxa"/>
            <w:vAlign w:val="bottom"/>
          </w:tcPr>
          <w:p>
            <w:pPr>
              <w:jc w:val="center"/>
              <w:ind w:left="1379"/>
              <w:spacing w:after="0"/>
              <w:rPr>
                <w:sz w:val="20"/>
                <w:szCs w:val="20"/>
                <w:color w:val="auto"/>
              </w:rPr>
            </w:pPr>
            <w:r>
              <w:rPr>
                <w:rFonts w:ascii="Arial" w:cs="Arial" w:eastAsia="Arial" w:hAnsi="Arial"/>
                <w:sz w:val="18"/>
                <w:szCs w:val="18"/>
                <w:b w:val="1"/>
                <w:bCs w:val="1"/>
                <w:color w:val="auto"/>
                <w:w w:val="90"/>
              </w:rPr>
              <w:t>San Francisco, CA</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00" w:type="dxa"/>
            <w:vAlign w:val="bottom"/>
            <w:gridSpan w:val="3"/>
          </w:tcPr>
          <w:p>
            <w:pPr>
              <w:jc w:val="right"/>
              <w:ind w:right="1943"/>
              <w:spacing w:after="0"/>
              <w:rPr>
                <w:sz w:val="20"/>
                <w:szCs w:val="20"/>
                <w:color w:val="auto"/>
              </w:rPr>
            </w:pPr>
            <w:r>
              <w:rPr>
                <w:rFonts w:ascii="Arial" w:cs="Arial" w:eastAsia="Arial" w:hAnsi="Arial"/>
                <w:sz w:val="18"/>
                <w:szCs w:val="18"/>
                <w:b w:val="1"/>
                <w:bCs w:val="1"/>
                <w:color w:val="auto"/>
              </w:rPr>
              <w:t>94158</w:t>
            </w:r>
          </w:p>
        </w:tc>
      </w:tr>
      <w:tr>
        <w:trPr>
          <w:trHeight w:val="186"/>
        </w:trPr>
        <w:tc>
          <w:tcPr>
            <w:tcW w:w="6140" w:type="dxa"/>
            <w:vAlign w:val="bottom"/>
            <w:gridSpan w:val="5"/>
          </w:tcPr>
          <w:p>
            <w:pPr>
              <w:jc w:val="center"/>
              <w:ind w:right="16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60" w:type="dxa"/>
            <w:vAlign w:val="bottom"/>
          </w:tcPr>
          <w:p>
            <w:pPr>
              <w:jc w:val="center"/>
              <w:ind w:right="1263"/>
              <w:spacing w:after="0"/>
              <w:rPr>
                <w:sz w:val="20"/>
                <w:szCs w:val="20"/>
                <w:color w:val="auto"/>
              </w:rPr>
            </w:pPr>
            <w:r>
              <w:rPr>
                <w:rFonts w:ascii="Arial" w:cs="Arial" w:eastAsia="Arial" w:hAnsi="Arial"/>
                <w:sz w:val="14"/>
                <w:szCs w:val="14"/>
                <w:b w:val="1"/>
                <w:bCs w:val="1"/>
                <w:color w:val="auto"/>
                <w:w w:val="95"/>
              </w:rPr>
              <w:t>(Zip Code)</w:t>
            </w:r>
          </w:p>
        </w:tc>
      </w:tr>
      <w:tr>
        <w:trPr>
          <w:trHeight w:val="232"/>
        </w:trPr>
        <w:tc>
          <w:tcPr>
            <w:tcW w:w="3060" w:type="dxa"/>
            <w:vAlign w:val="bottom"/>
          </w:tcPr>
          <w:p>
            <w:pPr>
              <w:spacing w:after="0"/>
              <w:rPr>
                <w:sz w:val="20"/>
                <w:szCs w:val="20"/>
                <w:color w:val="auto"/>
              </w:rPr>
            </w:pPr>
          </w:p>
        </w:tc>
        <w:tc>
          <w:tcPr>
            <w:tcW w:w="3080" w:type="dxa"/>
            <w:vAlign w:val="bottom"/>
            <w:gridSpan w:val="4"/>
          </w:tcPr>
          <w:p>
            <w:pPr>
              <w:jc w:val="center"/>
              <w:ind w:left="950"/>
              <w:spacing w:after="0"/>
              <w:rPr>
                <w:sz w:val="20"/>
                <w:szCs w:val="20"/>
                <w:color w:val="auto"/>
              </w:rPr>
            </w:pPr>
            <w:r>
              <w:rPr>
                <w:rFonts w:ascii="Arial" w:cs="Arial" w:eastAsia="Arial" w:hAnsi="Arial"/>
                <w:sz w:val="18"/>
                <w:szCs w:val="18"/>
                <w:b w:val="1"/>
                <w:bCs w:val="1"/>
                <w:color w:val="auto"/>
                <w:w w:val="90"/>
              </w:rPr>
              <w:t>(415) 978-1200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186"/>
        </w:trPr>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980" w:type="dxa"/>
            <w:vAlign w:val="bottom"/>
            <w:gridSpan w:val="6"/>
          </w:tcPr>
          <w:p>
            <w:pPr>
              <w:jc w:val="center"/>
              <w:ind w:right="3183"/>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215"/>
        </w:trPr>
        <w:tc>
          <w:tcPr>
            <w:tcW w:w="326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64"/>
        </w:trPr>
        <w:tc>
          <w:tcPr>
            <w:tcW w:w="6140" w:type="dxa"/>
            <w:vAlign w:val="bottom"/>
            <w:gridSpan w:val="5"/>
          </w:tcPr>
          <w:p>
            <w:pPr>
              <w:ind w:left="20"/>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160" w:type="dxa"/>
            <w:vAlign w:val="bottom"/>
          </w:tcPr>
          <w:p>
            <w:pPr>
              <w:spacing w:after="0"/>
              <w:rPr>
                <w:sz w:val="22"/>
                <w:szCs w:val="22"/>
                <w:color w:val="auto"/>
              </w:rPr>
            </w:pPr>
          </w:p>
        </w:tc>
      </w:tr>
      <w:tr>
        <w:trPr>
          <w:trHeight w:val="226"/>
        </w:trPr>
        <w:tc>
          <w:tcPr>
            <w:tcW w:w="3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r>
      <w:tr>
        <w:trPr>
          <w:trHeight w:val="119"/>
        </w:trPr>
        <w:tc>
          <w:tcPr>
            <w:tcW w:w="3060" w:type="dxa"/>
            <w:vAlign w:val="bottom"/>
            <w:tcBorders>
              <w:left w:val="single" w:sz="8" w:color="auto"/>
            </w:tcBorders>
          </w:tcPr>
          <w:p>
            <w:pPr>
              <w:ind w:left="960"/>
              <w:spacing w:after="0" w:line="119" w:lineRule="exact"/>
              <w:rPr>
                <w:sz w:val="20"/>
                <w:szCs w:val="20"/>
                <w:color w:val="auto"/>
              </w:rPr>
            </w:pPr>
            <w:r>
              <w:rPr>
                <w:rFonts w:ascii="Arial" w:cs="Arial" w:eastAsia="Arial" w:hAnsi="Arial"/>
                <w:sz w:val="13"/>
                <w:szCs w:val="13"/>
                <w:b w:val="1"/>
                <w:bCs w:val="1"/>
                <w:color w:val="auto"/>
              </w:rPr>
              <w:t>Title of each class</w:t>
            </w:r>
          </w:p>
        </w:tc>
        <w:tc>
          <w:tcPr>
            <w:tcW w:w="2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140" w:type="dxa"/>
            <w:vAlign w:val="bottom"/>
            <w:gridSpan w:val="2"/>
          </w:tcPr>
          <w:p>
            <w:pPr>
              <w:jc w:val="center"/>
              <w:ind w:left="121"/>
              <w:spacing w:after="0" w:line="119" w:lineRule="exact"/>
              <w:rPr>
                <w:sz w:val="20"/>
                <w:szCs w:val="20"/>
                <w:color w:val="auto"/>
              </w:rPr>
            </w:pPr>
            <w:r>
              <w:rPr>
                <w:rFonts w:ascii="Arial" w:cs="Arial" w:eastAsia="Arial" w:hAnsi="Arial"/>
                <w:sz w:val="13"/>
                <w:szCs w:val="13"/>
                <w:b w:val="1"/>
                <w:bCs w:val="1"/>
                <w:color w:val="auto"/>
              </w:rPr>
              <w:t>Trading Symbol</w:t>
            </w:r>
          </w:p>
        </w:tc>
        <w:tc>
          <w:tcPr>
            <w:tcW w:w="10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316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Name of each exchange on which</w:t>
            </w:r>
          </w:p>
        </w:tc>
      </w:tr>
      <w:tr>
        <w:trPr>
          <w:trHeight w:val="219"/>
        </w:trPr>
        <w:tc>
          <w:tcPr>
            <w:tcW w:w="306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b w:val="1"/>
                <w:bCs w:val="1"/>
                <w:color w:val="auto"/>
                <w:w w:val="87"/>
              </w:rPr>
              <w:t>registered</w:t>
            </w:r>
          </w:p>
        </w:tc>
      </w:tr>
      <w:tr>
        <w:trPr>
          <w:trHeight w:val="179"/>
        </w:trPr>
        <w:tc>
          <w:tcPr>
            <w:tcW w:w="3060" w:type="dxa"/>
            <w:vAlign w:val="bottom"/>
            <w:tcBorders>
              <w:left w:val="single" w:sz="8" w:color="auto"/>
              <w:bottom w:val="single" w:sz="8" w:color="auto"/>
            </w:tcBorders>
          </w:tcPr>
          <w:p>
            <w:pPr>
              <w:ind w:left="120"/>
              <w:spacing w:after="0" w:line="179" w:lineRule="exact"/>
              <w:rPr>
                <w:sz w:val="20"/>
                <w:szCs w:val="20"/>
                <w:color w:val="auto"/>
              </w:rPr>
            </w:pPr>
            <w:r>
              <w:rPr>
                <w:rFonts w:ascii="Arial" w:cs="Arial" w:eastAsia="Arial" w:hAnsi="Arial"/>
                <w:sz w:val="18"/>
                <w:szCs w:val="18"/>
                <w:color w:val="auto"/>
              </w:rPr>
              <w:t>Common Stock, $0.01 par value</w:t>
            </w:r>
          </w:p>
        </w:tc>
        <w:tc>
          <w:tcPr>
            <w:tcW w:w="20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2"/>
          </w:tcPr>
          <w:p>
            <w:pPr>
              <w:jc w:val="center"/>
              <w:ind w:left="121"/>
              <w:spacing w:after="0" w:line="179" w:lineRule="exact"/>
              <w:rPr>
                <w:sz w:val="20"/>
                <w:szCs w:val="20"/>
                <w:color w:val="auto"/>
              </w:rPr>
            </w:pPr>
            <w:r>
              <w:rPr>
                <w:rFonts w:ascii="Arial" w:cs="Arial" w:eastAsia="Arial" w:hAnsi="Arial"/>
                <w:sz w:val="18"/>
                <w:szCs w:val="18"/>
                <w:color w:val="auto"/>
                <w:w w:val="91"/>
              </w:rPr>
              <w:t>FGEN</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316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1"/>
              </w:rPr>
              <w:t>The Nasdaq Global Select Market</w:t>
            </w:r>
          </w:p>
        </w:tc>
      </w:tr>
    </w:tbl>
    <w:p>
      <w:pPr>
        <w:spacing w:after="0" w:line="67" w:lineRule="exact"/>
        <w:rPr>
          <w:sz w:val="24"/>
          <w:szCs w:val="24"/>
          <w:color w:val="auto"/>
        </w:rPr>
      </w:pPr>
    </w:p>
    <w:p>
      <w:pPr>
        <w:jc w:val="both"/>
        <w:ind w:right="40" w:firstLine="562"/>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ind w:firstLine="562"/>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jc w:val="both"/>
        <w:ind w:right="140" w:firstLine="562"/>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920" w:type="dxa"/>
        <w:tblCellMar>
          <w:top w:w="0" w:type="dxa"/>
          <w:left w:w="0" w:type="dxa"/>
          <w:bottom w:w="0" w:type="dxa"/>
          <w:right w:w="0" w:type="dxa"/>
        </w:tblCellMar>
      </w:tblPr>
      <w:tr>
        <w:trPr>
          <w:trHeight w:val="209"/>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204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3"/>
        </w:trPr>
        <w:tc>
          <w:tcPr>
            <w:tcW w:w="202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26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2040"/>
              <w:spacing w:after="0" w:line="202" w:lineRule="exact"/>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380" w:type="dxa"/>
            <w:vAlign w:val="bottom"/>
          </w:tcPr>
          <w:p>
            <w:pPr>
              <w:ind w:left="204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220" w:firstLine="569"/>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80" w:right="1580"/>
        <w:spacing w:after="0" w:line="226" w:lineRule="exact"/>
        <w:rPr>
          <w:sz w:val="20"/>
          <w:szCs w:val="20"/>
          <w:color w:val="auto"/>
        </w:rPr>
      </w:pPr>
      <w:r>
        <w:rPr>
          <w:rFonts w:ascii="Arial" w:cs="Arial" w:eastAsia="Arial" w:hAnsi="Arial"/>
          <w:sz w:val="18"/>
          <w:szCs w:val="18"/>
          <w:color w:val="auto"/>
        </w:rPr>
        <w:t xml:space="preserve">Indicate by check mark whether the registrant is a shell company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July 31, 2022 was 93,741,180.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FIBROGEN,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vMerge w:val="restart"/>
          </w:tcPr>
          <w:p>
            <w:pPr>
              <w:spacing w:after="0"/>
              <w:rPr>
                <w:sz w:val="15"/>
                <w:szCs w:val="15"/>
                <w:color w:val="auto"/>
              </w:rPr>
            </w:pPr>
          </w:p>
        </w:tc>
        <w:tc>
          <w:tcPr>
            <w:tcW w:w="7040" w:type="dxa"/>
            <w:vAlign w:val="bottom"/>
            <w:gridSpan w:val="15"/>
            <w:vMerge w:val="restart"/>
          </w:tcPr>
          <w:p>
            <w:pPr>
              <w:jc w:val="center"/>
              <w:ind w:right="3880"/>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7040" w:type="dxa"/>
            <w:vAlign w:val="bottom"/>
            <w:gridSpan w:val="15"/>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Arial" w:cs="Arial" w:eastAsia="Arial" w:hAnsi="Arial"/>
                <w:sz w:val="18"/>
                <w:szCs w:val="18"/>
                <w:color w:val="auto"/>
              </w:rPr>
              <w:t>Item 1.</w:t>
            </w:r>
          </w:p>
        </w:tc>
        <w:tc>
          <w:tcPr>
            <w:tcW w:w="2840" w:type="dxa"/>
            <w:vAlign w:val="bottom"/>
            <w:gridSpan w:val="1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3160" w:type="dxa"/>
            <w:vAlign w:val="bottom"/>
            <w:tcBorders>
              <w:top w:val="single" w:sz="8" w:color="0000FF"/>
            </w:tcBorders>
            <w:gridSpan w:val="7"/>
          </w:tcPr>
          <w:p>
            <w:pPr>
              <w:spacing w:after="0"/>
              <w:rPr>
                <w:sz w:val="24"/>
                <w:szCs w:val="24"/>
                <w:color w:val="auto"/>
              </w:rPr>
            </w:pPr>
          </w:p>
        </w:tc>
        <w:tc>
          <w:tcPr>
            <w:tcW w:w="388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7060" w:type="dxa"/>
            <w:vAlign w:val="bottom"/>
            <w:tcBorders>
              <w:bottom w:val="single" w:sz="8" w:color="0000FF"/>
            </w:tcBorders>
            <w:gridSpan w:val="20"/>
          </w:tcPr>
          <w:p>
            <w:pPr>
              <w:spacing w:after="0" w:line="182" w:lineRule="exact"/>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Balance Sheets as of June 30, 2022 and December 31, 2021 (Unaudited)</w:t>
              </w:r>
            </w:hyperlink>
          </w:p>
        </w:tc>
        <w:tc>
          <w:tcPr>
            <w:tcW w:w="20" w:type="dxa"/>
            <w:vAlign w:val="bottom"/>
            <w:tcBorders>
              <w:bottom w:val="single" w:sz="8" w:color="0000EE"/>
            </w:tcBorders>
          </w:tcPr>
          <w:p>
            <w:pPr>
              <w:spacing w:after="0"/>
              <w:rPr>
                <w:sz w:val="15"/>
                <w:szCs w:val="15"/>
                <w:color w:val="auto"/>
              </w:rPr>
            </w:pPr>
          </w:p>
        </w:tc>
        <w:tc>
          <w:tcPr>
            <w:tcW w:w="2800" w:type="dxa"/>
            <w:vAlign w:val="bottom"/>
            <w:gridSpan w:val="5"/>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7080" w:type="dxa"/>
            <w:vAlign w:val="bottom"/>
            <w:gridSpan w:val="21"/>
          </w:tcPr>
          <w:p>
            <w:pPr>
              <w:spacing w:after="0" w:line="182"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Condensed Consolidated Statements of Operations for the Three and Six Months Ended June 30,</w:t>
              </w:r>
            </w:hyperlink>
          </w:p>
        </w:tc>
        <w:tc>
          <w:tcPr>
            <w:tcW w:w="2800" w:type="dxa"/>
            <w:vAlign w:val="bottom"/>
            <w:gridSpan w:val="5"/>
          </w:tcPr>
          <w:p>
            <w:pPr>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2022 and 2021 (Unaudited)</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9020" w:type="dxa"/>
            <w:vAlign w:val="bottom"/>
            <w:tcBorders>
              <w:top w:val="single" w:sz="8" w:color="0000FF"/>
            </w:tcBorders>
            <w:gridSpan w:val="23"/>
          </w:tcPr>
          <w:p>
            <w:pPr>
              <w:spacing w:after="0" w:line="182" w:lineRule="exact"/>
              <w:rPr>
                <w:rFonts w:ascii="Arial" w:cs="Arial" w:eastAsia="Arial" w:hAnsi="Arial"/>
                <w:sz w:val="18"/>
                <w:szCs w:val="18"/>
                <w:color w:val="0000FF"/>
                <w:w w:val="91"/>
              </w:rPr>
            </w:pPr>
            <w:hyperlink w:anchor="page5">
              <w:r>
                <w:rPr>
                  <w:rFonts w:ascii="Arial" w:cs="Arial" w:eastAsia="Arial" w:hAnsi="Arial"/>
                  <w:sz w:val="18"/>
                  <w:szCs w:val="18"/>
                  <w:color w:val="0000FF"/>
                  <w:w w:val="91"/>
                </w:rPr>
                <w:t>Condensed Consolidated Statements of Comprehensive Loss for the Three and Six Months Ended June 30, 2022 and 2021</w:t>
              </w:r>
            </w:hyperlink>
          </w:p>
        </w:tc>
        <w:tc>
          <w:tcPr>
            <w:tcW w:w="860" w:type="dxa"/>
            <w:vAlign w:val="bottom"/>
            <w:gridSpan w:val="3"/>
          </w:tcPr>
          <w:p>
            <w:pPr>
              <w:spacing w:after="0" w:line="182" w:lineRule="exact"/>
              <w:rPr>
                <w:rFonts w:ascii="Arial" w:cs="Arial" w:eastAsia="Arial" w:hAnsi="Arial"/>
                <w:sz w:val="18"/>
                <w:szCs w:val="18"/>
                <w:color w:val="0000FF"/>
                <w:w w:val="89"/>
              </w:rPr>
            </w:pPr>
            <w:hyperlink w:anchor="page5">
              <w:r>
                <w:rPr>
                  <w:rFonts w:ascii="Arial" w:cs="Arial" w:eastAsia="Arial" w:hAnsi="Arial"/>
                  <w:sz w:val="18"/>
                  <w:szCs w:val="18"/>
                  <w:color w:val="0000FF"/>
                  <w:w w:val="89"/>
                </w:rPr>
                <w:t>(Unaudited)</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9740" w:type="dxa"/>
            <w:vAlign w:val="bottom"/>
            <w:tcBorders>
              <w:top w:val="single" w:sz="8" w:color="0000FF"/>
            </w:tcBorders>
            <w:gridSpan w:val="25"/>
          </w:tcPr>
          <w:p>
            <w:pPr>
              <w:spacing w:after="0" w:line="182"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Condensed Consolidated Statements of Changes in Equity for the Three and Six Months Ended June 30, 2022 and 2021 (Unaudited)</w:t>
              </w:r>
            </w:hyperlink>
          </w:p>
        </w:tc>
        <w:tc>
          <w:tcPr>
            <w:tcW w:w="14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956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 for the Six Months Ended March 31, 2022 and 2021 (Unaudited)</w:t>
              </w:r>
            </w:hyperlink>
          </w:p>
        </w:tc>
        <w:tc>
          <w:tcPr>
            <w:tcW w:w="320" w:type="dxa"/>
            <w:vAlign w:val="bottom"/>
            <w:gridSpan w:val="2"/>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518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the Condensed Consolidated Financial Statements (Unaudited)</w:t>
              </w:r>
            </w:hyperlink>
          </w:p>
        </w:tc>
        <w:tc>
          <w:tcPr>
            <w:tcW w:w="20" w:type="dxa"/>
            <w:vAlign w:val="bottom"/>
            <w:tcBorders>
              <w:top w:val="single" w:sz="8" w:color="0000FF"/>
              <w:bottom w:val="single" w:sz="8" w:color="0000EE"/>
            </w:tcBorders>
          </w:tcPr>
          <w:p>
            <w:pPr>
              <w:spacing w:after="0"/>
              <w:rPr>
                <w:sz w:val="15"/>
                <w:szCs w:val="15"/>
                <w:color w:val="auto"/>
              </w:rPr>
            </w:pPr>
          </w:p>
        </w:tc>
        <w:tc>
          <w:tcPr>
            <w:tcW w:w="3240" w:type="dxa"/>
            <w:vAlign w:val="bottom"/>
            <w:tcBorders>
              <w:top w:val="single" w:sz="8" w:color="0000FF"/>
            </w:tcBorders>
            <w:gridSpan w:val="6"/>
          </w:tcPr>
          <w:p>
            <w:pPr>
              <w:spacing w:after="0"/>
              <w:rPr>
                <w:sz w:val="15"/>
                <w:szCs w:val="15"/>
                <w:color w:val="auto"/>
              </w:rPr>
            </w:pPr>
          </w:p>
        </w:tc>
        <w:tc>
          <w:tcPr>
            <w:tcW w:w="1440" w:type="dxa"/>
            <w:vAlign w:val="bottom"/>
            <w:gridSpan w:val="4"/>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920" w:type="dxa"/>
            <w:vAlign w:val="bottom"/>
          </w:tcPr>
          <w:p>
            <w:pPr>
              <w:ind w:left="20"/>
              <w:spacing w:after="0" w:line="182" w:lineRule="exact"/>
              <w:rPr>
                <w:sz w:val="20"/>
                <w:szCs w:val="20"/>
                <w:color w:val="auto"/>
              </w:rPr>
            </w:pPr>
            <w:r>
              <w:rPr>
                <w:rFonts w:ascii="Arial" w:cs="Arial" w:eastAsia="Arial" w:hAnsi="Arial"/>
                <w:sz w:val="18"/>
                <w:szCs w:val="18"/>
                <w:color w:val="auto"/>
              </w:rPr>
              <w:t>Item 2.</w:t>
            </w:r>
          </w:p>
        </w:tc>
        <w:tc>
          <w:tcPr>
            <w:tcW w:w="9880" w:type="dxa"/>
            <w:vAlign w:val="bottom"/>
            <w:gridSpan w:val="26"/>
          </w:tcPr>
          <w:p>
            <w:pPr>
              <w:spacing w:after="0" w:line="182" w:lineRule="exact"/>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920" w:type="dxa"/>
            <w:vAlign w:val="bottom"/>
          </w:tcPr>
          <w:p>
            <w:pPr>
              <w:ind w:left="20"/>
              <w:spacing w:after="0" w:line="182"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w:anchor="page41">
              <w:r>
                <w:rPr>
                  <w:rFonts w:ascii="Arial" w:cs="Arial" w:eastAsia="Arial" w:hAnsi="Arial"/>
                  <w:sz w:val="18"/>
                  <w:szCs w:val="18"/>
                  <w:color w:val="0000FF"/>
                </w:rPr>
                <w:t>Quantitative and Qualitative Disclosures About Market Risk</w:t>
              </w:r>
            </w:hyperlink>
          </w:p>
        </w:tc>
        <w:tc>
          <w:tcPr>
            <w:tcW w:w="3420" w:type="dxa"/>
            <w:vAlign w:val="bottom"/>
            <w:gridSpan w:val="7"/>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3"/>
        </w:trPr>
        <w:tc>
          <w:tcPr>
            <w:tcW w:w="920" w:type="dxa"/>
            <w:vAlign w:val="bottom"/>
          </w:tcPr>
          <w:p>
            <w:pPr>
              <w:ind w:left="20"/>
              <w:spacing w:after="0" w:line="182" w:lineRule="exact"/>
              <w:rPr>
                <w:sz w:val="20"/>
                <w:szCs w:val="20"/>
                <w:color w:val="auto"/>
              </w:rPr>
            </w:pPr>
            <w:r>
              <w:rPr>
                <w:rFonts w:ascii="Arial" w:cs="Arial" w:eastAsia="Arial" w:hAnsi="Arial"/>
                <w:sz w:val="18"/>
                <w:szCs w:val="18"/>
                <w:color w:val="auto"/>
              </w:rPr>
              <w:t>Item 4.</w:t>
            </w:r>
          </w:p>
        </w:tc>
        <w:tc>
          <w:tcPr>
            <w:tcW w:w="438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w:anchor="page42">
              <w:r>
                <w:rPr>
                  <w:rFonts w:ascii="Arial" w:cs="Arial" w:eastAsia="Arial" w:hAnsi="Arial"/>
                  <w:sz w:val="18"/>
                  <w:szCs w:val="18"/>
                  <w:color w:val="0000FF"/>
                </w:rPr>
                <w:t>Controls and Procedures</w:t>
              </w:r>
            </w:hyperlink>
          </w:p>
        </w:tc>
        <w:tc>
          <w:tcPr>
            <w:tcW w:w="1480" w:type="dxa"/>
            <w:vAlign w:val="bottom"/>
            <w:gridSpan w:val="3"/>
          </w:tcPr>
          <w:p>
            <w:pPr>
              <w:spacing w:after="0"/>
              <w:rPr>
                <w:sz w:val="15"/>
                <w:szCs w:val="15"/>
                <w:color w:val="auto"/>
              </w:rPr>
            </w:pPr>
          </w:p>
        </w:tc>
        <w:tc>
          <w:tcPr>
            <w:tcW w:w="4020" w:type="dxa"/>
            <w:vAlign w:val="bottom"/>
            <w:gridSpan w:val="9"/>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40" w:type="dxa"/>
            <w:vAlign w:val="bottom"/>
            <w:gridSpan w:val="15"/>
          </w:tcPr>
          <w:p>
            <w:pPr>
              <w:jc w:val="center"/>
              <w:ind w:right="3860"/>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PART II—OTHER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Arial" w:cs="Arial" w:eastAsia="Arial" w:hAnsi="Arial"/>
                <w:sz w:val="18"/>
                <w:szCs w:val="18"/>
                <w:color w:val="auto"/>
              </w:rPr>
              <w:t>Item 1.</w:t>
            </w:r>
          </w:p>
        </w:tc>
        <w:tc>
          <w:tcPr>
            <w:tcW w:w="3000" w:type="dxa"/>
            <w:vAlign w:val="bottom"/>
            <w:gridSpan w:val="1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Legal Proceedings</w:t>
              </w:r>
            </w:hyperlink>
          </w:p>
        </w:tc>
        <w:tc>
          <w:tcPr>
            <w:tcW w:w="2860" w:type="dxa"/>
            <w:vAlign w:val="bottom"/>
            <w:tcBorders>
              <w:top w:val="single" w:sz="8" w:color="0000FF"/>
            </w:tcBorders>
            <w:gridSpan w:val="5"/>
          </w:tcPr>
          <w:p>
            <w:pPr>
              <w:spacing w:after="0"/>
              <w:rPr>
                <w:sz w:val="24"/>
                <w:szCs w:val="24"/>
                <w:color w:val="auto"/>
              </w:rPr>
            </w:pPr>
          </w:p>
        </w:tc>
        <w:tc>
          <w:tcPr>
            <w:tcW w:w="4020" w:type="dxa"/>
            <w:vAlign w:val="bottom"/>
            <w:gridSpan w:val="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920" w:type="dxa"/>
            <w:vAlign w:val="bottom"/>
          </w:tcPr>
          <w:p>
            <w:pPr>
              <w:ind w:left="20"/>
              <w:spacing w:after="0" w:line="182"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89"/>
              </w:rPr>
            </w:pPr>
            <w:hyperlink w:anchor="page43">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980" w:type="dxa"/>
            <w:vAlign w:val="bottom"/>
            <w:gridSpan w:val="3"/>
          </w:tcPr>
          <w:p>
            <w:pPr>
              <w:spacing w:after="0"/>
              <w:rPr>
                <w:sz w:val="15"/>
                <w:szCs w:val="15"/>
                <w:color w:val="auto"/>
              </w:rPr>
            </w:pPr>
          </w:p>
        </w:tc>
        <w:tc>
          <w:tcPr>
            <w:tcW w:w="2040" w:type="dxa"/>
            <w:vAlign w:val="bottom"/>
            <w:gridSpan w:val="3"/>
          </w:tcPr>
          <w:p>
            <w:pPr>
              <w:spacing w:after="0"/>
              <w:rPr>
                <w:sz w:val="15"/>
                <w:szCs w:val="15"/>
                <w:color w:val="auto"/>
              </w:rPr>
            </w:pPr>
          </w:p>
        </w:tc>
        <w:tc>
          <w:tcPr>
            <w:tcW w:w="5520" w:type="dxa"/>
            <w:vAlign w:val="bottom"/>
            <w:gridSpan w:val="13"/>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920" w:type="dxa"/>
            <w:vAlign w:val="bottom"/>
          </w:tcPr>
          <w:p>
            <w:pPr>
              <w:ind w:left="20"/>
              <w:spacing w:after="0" w:line="182" w:lineRule="exact"/>
              <w:rPr>
                <w:sz w:val="20"/>
                <w:szCs w:val="20"/>
                <w:color w:val="auto"/>
              </w:rPr>
            </w:pPr>
            <w:r>
              <w:rPr>
                <w:rFonts w:ascii="Arial" w:cs="Arial" w:eastAsia="Arial" w:hAnsi="Arial"/>
                <w:sz w:val="18"/>
                <w:szCs w:val="18"/>
                <w:color w:val="auto"/>
              </w:rPr>
              <w:t>Item 2.</w:t>
            </w:r>
          </w:p>
        </w:tc>
        <w:tc>
          <w:tcPr>
            <w:tcW w:w="940" w:type="dxa"/>
            <w:vAlign w:val="bottom"/>
            <w:gridSpan w:val="5"/>
          </w:tcPr>
          <w:p>
            <w:pPr>
              <w:spacing w:after="0" w:line="182"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Unregistered</w:t>
              </w:r>
            </w:hyperlink>
          </w:p>
        </w:tc>
        <w:tc>
          <w:tcPr>
            <w:tcW w:w="8940" w:type="dxa"/>
            <w:vAlign w:val="bottom"/>
            <w:gridSpan w:val="21"/>
          </w:tcPr>
          <w:p>
            <w:pPr>
              <w:ind w:left="40"/>
              <w:spacing w:after="0" w:line="182" w:lineRule="exact"/>
              <w:rPr>
                <w:rFonts w:ascii="Arial" w:cs="Arial" w:eastAsia="Arial" w:hAnsi="Arial"/>
                <w:sz w:val="18"/>
                <w:szCs w:val="18"/>
                <w:color w:val="0000FF"/>
              </w:rPr>
            </w:pPr>
            <w:hyperlink w:anchor="page83">
              <w:r>
                <w:rPr>
                  <w:rFonts w:ascii="Arial" w:cs="Arial" w:eastAsia="Arial" w:hAnsi="Arial"/>
                  <w:sz w:val="18"/>
                  <w:szCs w:val="18"/>
                  <w:color w:val="0000FF"/>
                </w:rPr>
                <w:t>Sales of Equity Securities and Use of Proceeds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3"/>
        </w:trPr>
        <w:tc>
          <w:tcPr>
            <w:tcW w:w="920" w:type="dxa"/>
            <w:vAlign w:val="bottom"/>
          </w:tcPr>
          <w:p>
            <w:pPr>
              <w:ind w:left="20"/>
              <w:spacing w:after="0" w:line="182"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w:anchor="page83">
              <w:r>
                <w:rPr>
                  <w:rFonts w:ascii="Arial" w:cs="Arial" w:eastAsia="Arial" w:hAnsi="Arial"/>
                  <w:sz w:val="18"/>
                  <w:szCs w:val="18"/>
                  <w:color w:val="0000FF"/>
                </w:rPr>
                <w:t>Defaults Upon Senior Securities</w:t>
              </w:r>
            </w:hyperlink>
          </w:p>
        </w:tc>
        <w:tc>
          <w:tcPr>
            <w:tcW w:w="5520" w:type="dxa"/>
            <w:vAlign w:val="bottom"/>
            <w:gridSpan w:val="13"/>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3"/>
        </w:trPr>
        <w:tc>
          <w:tcPr>
            <w:tcW w:w="920" w:type="dxa"/>
            <w:vAlign w:val="bottom"/>
          </w:tcPr>
          <w:p>
            <w:pPr>
              <w:ind w:left="20"/>
              <w:spacing w:after="0" w:line="182"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w:anchor="page83">
              <w:r>
                <w:rPr>
                  <w:rFonts w:ascii="Arial" w:cs="Arial" w:eastAsia="Arial" w:hAnsi="Arial"/>
                  <w:sz w:val="18"/>
                  <w:szCs w:val="18"/>
                  <w:color w:val="0000FF"/>
                </w:rPr>
                <w:t>Mine Safety Disclosures</w:t>
              </w:r>
            </w:hyperlink>
          </w:p>
        </w:tc>
        <w:tc>
          <w:tcPr>
            <w:tcW w:w="7560" w:type="dxa"/>
            <w:vAlign w:val="bottom"/>
            <w:gridSpan w:val="16"/>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3"/>
        </w:trPr>
        <w:tc>
          <w:tcPr>
            <w:tcW w:w="920" w:type="dxa"/>
            <w:vAlign w:val="bottom"/>
          </w:tcPr>
          <w:p>
            <w:pPr>
              <w:ind w:left="20"/>
              <w:spacing w:after="0" w:line="182"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w:anchor="page84">
              <w:r>
                <w:rPr>
                  <w:rFonts w:ascii="Arial" w:cs="Arial" w:eastAsia="Arial" w:hAnsi="Arial"/>
                  <w:sz w:val="18"/>
                  <w:szCs w:val="18"/>
                  <w:color w:val="0000FF"/>
                </w:rPr>
                <w:t>Other Information</w:t>
              </w:r>
            </w:hyperlink>
          </w:p>
        </w:tc>
        <w:tc>
          <w:tcPr>
            <w:tcW w:w="8100" w:type="dxa"/>
            <w:vAlign w:val="bottom"/>
            <w:gridSpan w:val="17"/>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2"/>
        </w:trPr>
        <w:tc>
          <w:tcPr>
            <w:tcW w:w="920" w:type="dxa"/>
            <w:vAlign w:val="bottom"/>
          </w:tcPr>
          <w:p>
            <w:pPr>
              <w:ind w:left="20"/>
              <w:spacing w:after="0" w:line="182"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w:anchor="page84">
              <w:r>
                <w:rPr>
                  <w:rFonts w:ascii="Arial" w:cs="Arial" w:eastAsia="Arial" w:hAnsi="Arial"/>
                  <w:sz w:val="18"/>
                  <w:szCs w:val="18"/>
                  <w:color w:val="0000FF"/>
                </w:rPr>
                <w:t>Exhibits</w:t>
              </w:r>
            </w:hyperlink>
          </w:p>
        </w:tc>
        <w:tc>
          <w:tcPr>
            <w:tcW w:w="8560" w:type="dxa"/>
            <w:vAlign w:val="bottom"/>
            <w:gridSpan w:val="20"/>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600" w:type="dxa"/>
            <w:vAlign w:val="bottom"/>
            <w:tcBorders>
              <w:top w:val="single" w:sz="8" w:color="0000FF"/>
              <w:bottom w:val="single" w:sz="8" w:color="0000FF"/>
            </w:tcBorders>
          </w:tcPr>
          <w:p>
            <w:pPr>
              <w:spacing w:after="0" w:line="183" w:lineRule="exact"/>
              <w:rPr>
                <w:rFonts w:ascii="Arial" w:cs="Arial" w:eastAsia="Arial" w:hAnsi="Arial"/>
                <w:sz w:val="17"/>
                <w:szCs w:val="17"/>
                <w:color w:val="0000FF"/>
                <w:w w:val="71"/>
              </w:rPr>
            </w:pPr>
            <w:hyperlink w:anchor="page85">
              <w:r>
                <w:rPr>
                  <w:rFonts w:ascii="Arial" w:cs="Arial" w:eastAsia="Arial" w:hAnsi="Arial"/>
                  <w:sz w:val="17"/>
                  <w:szCs w:val="17"/>
                  <w:color w:val="0000FF"/>
                  <w:w w:val="71"/>
                </w:rPr>
                <w:t>Signatures</w:t>
              </w:r>
            </w:hyperlink>
          </w:p>
        </w:tc>
        <w:tc>
          <w:tcPr>
            <w:tcW w:w="20" w:type="dxa"/>
            <w:vAlign w:val="bottom"/>
            <w:tcBorders>
              <w:top w:val="single" w:sz="8" w:color="0000EE"/>
              <w:bottom w:val="single" w:sz="8" w:color="0000FF"/>
            </w:tcBorders>
          </w:tcPr>
          <w:p>
            <w:pPr>
              <w:spacing w:after="0"/>
              <w:rPr>
                <w:sz w:val="15"/>
                <w:szCs w:val="15"/>
                <w:color w:val="auto"/>
              </w:rPr>
            </w:pPr>
          </w:p>
        </w:tc>
        <w:tc>
          <w:tcPr>
            <w:tcW w:w="140" w:type="dxa"/>
            <w:vAlign w:val="bottom"/>
            <w:tcBorders>
              <w:bottom w:val="single" w:sz="8" w:color="0000FF"/>
            </w:tcBorders>
          </w:tcPr>
          <w:p>
            <w:pPr>
              <w:spacing w:after="0"/>
              <w:rPr>
                <w:sz w:val="15"/>
                <w:szCs w:val="15"/>
                <w:color w:val="auto"/>
              </w:rPr>
            </w:pPr>
          </w:p>
        </w:tc>
        <w:tc>
          <w:tcPr>
            <w:tcW w:w="9120" w:type="dxa"/>
            <w:vAlign w:val="bottom"/>
            <w:gridSpan w:val="23"/>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642"/>
        </w:trPr>
        <w:tc>
          <w:tcPr>
            <w:tcW w:w="920" w:type="dxa"/>
            <w:vAlign w:val="bottom"/>
          </w:tcPr>
          <w:p>
            <w:pPr>
              <w:spacing w:after="0"/>
              <w:rPr>
                <w:sz w:val="24"/>
                <w:szCs w:val="24"/>
                <w:color w:val="auto"/>
              </w:rPr>
            </w:pPr>
          </w:p>
        </w:tc>
        <w:tc>
          <w:tcPr>
            <w:tcW w:w="5180" w:type="dxa"/>
            <w:vAlign w:val="bottom"/>
            <w:gridSpan w:val="15"/>
          </w:tcPr>
          <w:p>
            <w:pPr>
              <w:ind w:left="46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03" w:lineRule="auto"/>
        <w:rPr>
          <w:sz w:val="20"/>
          <w:szCs w:val="20"/>
          <w:color w:val="auto"/>
        </w:rPr>
      </w:pPr>
      <w:r>
        <w:rPr>
          <w:rFonts w:ascii="Arial" w:cs="Arial" w:eastAsia="Arial" w:hAnsi="Arial"/>
          <w:sz w:val="18"/>
          <w:szCs w:val="18"/>
          <w:b w:val="1"/>
          <w:bCs w:val="1"/>
          <w:color w:val="auto"/>
        </w:rPr>
        <w:t>(In thousands, except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16"/>
                <w:szCs w:val="16"/>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December 31, 2021</w:t>
            </w:r>
          </w:p>
        </w:tc>
      </w:tr>
      <w:tr>
        <w:trPr>
          <w:trHeight w:val="169"/>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FF0FC"/>
          </w:tcPr>
          <w:p>
            <w:pPr>
              <w:spacing w:after="0"/>
              <w:rPr>
                <w:sz w:val="14"/>
                <w:szCs w:val="14"/>
                <w:color w:val="auto"/>
              </w:rPr>
            </w:pPr>
          </w:p>
        </w:tc>
        <w:tc>
          <w:tcPr>
            <w:tcW w:w="138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167,758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171,223</w:t>
            </w:r>
          </w:p>
        </w:tc>
        <w:tc>
          <w:tcPr>
            <w:tcW w:w="100" w:type="dxa"/>
            <w:vAlign w:val="bottom"/>
            <w:shd w:val="clear" w:color="auto" w:fill="CFF0FC"/>
          </w:tcPr>
          <w:p>
            <w:pPr>
              <w:spacing w:after="0"/>
              <w:rPr>
                <w:sz w:val="15"/>
                <w:szCs w:val="15"/>
                <w:color w:val="auto"/>
              </w:rPr>
            </w:pPr>
          </w:p>
        </w:tc>
      </w:tr>
      <w:tr>
        <w:trPr>
          <w:trHeight w:val="176"/>
        </w:trPr>
        <w:tc>
          <w:tcPr>
            <w:tcW w:w="7680" w:type="dxa"/>
            <w:vAlign w:val="bottom"/>
          </w:tcPr>
          <w:p>
            <w:pPr>
              <w:ind w:left="200"/>
              <w:spacing w:after="0"/>
              <w:rPr>
                <w:sz w:val="20"/>
                <w:szCs w:val="20"/>
                <w:color w:val="auto"/>
              </w:rPr>
            </w:pPr>
            <w:r>
              <w:rPr>
                <w:rFonts w:ascii="Arial" w:cs="Arial" w:eastAsia="Arial" w:hAnsi="Arial"/>
                <w:sz w:val="14"/>
                <w:szCs w:val="14"/>
                <w:color w:val="auto"/>
              </w:rPr>
              <w:t>Short-term investments</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270,375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233,967</w:t>
            </w:r>
          </w:p>
        </w:tc>
        <w:tc>
          <w:tcPr>
            <w:tcW w:w="100" w:type="dxa"/>
            <w:vAlign w:val="bottom"/>
          </w:tcPr>
          <w:p>
            <w:pPr>
              <w:spacing w:after="0"/>
              <w:rPr>
                <w:sz w:val="15"/>
                <w:szCs w:val="15"/>
                <w:color w:val="auto"/>
              </w:rPr>
            </w:pPr>
          </w:p>
        </w:tc>
      </w:tr>
      <w:tr>
        <w:trPr>
          <w:trHeight w:val="176"/>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 net ($26,779 and $10,930 from related parties)</w:t>
            </w:r>
          </w:p>
        </w:tc>
        <w:tc>
          <w:tcPr>
            <w:tcW w:w="26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33,573</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17,401</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40,899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31,015</w:t>
            </w:r>
          </w:p>
        </w:tc>
        <w:tc>
          <w:tcPr>
            <w:tcW w:w="100" w:type="dxa"/>
            <w:vAlign w:val="bottom"/>
          </w:tcPr>
          <w:p>
            <w:pPr>
              <w:spacing w:after="0"/>
              <w:rPr>
                <w:sz w:val="15"/>
                <w:szCs w:val="15"/>
                <w:color w:val="auto"/>
              </w:rPr>
            </w:pPr>
          </w:p>
        </w:tc>
      </w:tr>
      <w:tr>
        <w:trPr>
          <w:trHeight w:val="176"/>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8,038</w:t>
            </w:r>
          </w:p>
        </w:tc>
        <w:tc>
          <w:tcPr>
            <w:tcW w:w="2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20,453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80" w:type="dxa"/>
            <w:vAlign w:val="bottom"/>
          </w:tcPr>
          <w:p>
            <w:pPr>
              <w:ind w:left="380"/>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520,643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474,059</w:t>
            </w:r>
          </w:p>
        </w:tc>
        <w:tc>
          <w:tcPr>
            <w:tcW w:w="100" w:type="dxa"/>
            <w:vAlign w:val="bottom"/>
          </w:tcPr>
          <w:p>
            <w:pPr>
              <w:spacing w:after="0"/>
              <w:rPr>
                <w:sz w:val="14"/>
                <w:szCs w:val="14"/>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Restricted time deposits</w:t>
            </w:r>
          </w:p>
        </w:tc>
        <w:tc>
          <w:tcPr>
            <w:tcW w:w="26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2,072</w:t>
            </w:r>
          </w:p>
        </w:tc>
        <w:tc>
          <w:tcPr>
            <w:tcW w:w="100" w:type="dxa"/>
            <w:vAlign w:val="bottom"/>
            <w:shd w:val="clear" w:color="auto" w:fill="CFF0FC"/>
          </w:tcPr>
          <w:p>
            <w:pPr>
              <w:spacing w:after="0"/>
              <w:rPr>
                <w:sz w:val="15"/>
                <w:szCs w:val="15"/>
                <w:color w:val="auto"/>
              </w:rPr>
            </w:pPr>
          </w:p>
        </w:tc>
      </w:tr>
      <w:tr>
        <w:trPr>
          <w:trHeight w:val="176"/>
        </w:trPr>
        <w:tc>
          <w:tcPr>
            <w:tcW w:w="7680" w:type="dxa"/>
            <w:vAlign w:val="bottom"/>
          </w:tcPr>
          <w:p>
            <w:pPr>
              <w:ind w:left="20"/>
              <w:spacing w:after="0"/>
              <w:rPr>
                <w:sz w:val="20"/>
                <w:szCs w:val="20"/>
                <w:color w:val="auto"/>
              </w:rPr>
            </w:pPr>
            <w:r>
              <w:rPr>
                <w:rFonts w:ascii="Arial" w:cs="Arial" w:eastAsia="Arial" w:hAnsi="Arial"/>
                <w:sz w:val="14"/>
                <w:szCs w:val="14"/>
                <w:color w:val="auto"/>
              </w:rPr>
              <w:t>Long-term investments</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45,920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167,796</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Property and equipment, net</w:t>
            </w:r>
          </w:p>
        </w:tc>
        <w:tc>
          <w:tcPr>
            <w:tcW w:w="26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24,505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28,277</w:t>
            </w:r>
          </w:p>
        </w:tc>
        <w:tc>
          <w:tcPr>
            <w:tcW w:w="100" w:type="dxa"/>
            <w:vAlign w:val="bottom"/>
            <w:shd w:val="clear" w:color="auto" w:fill="CFF0FC"/>
          </w:tcPr>
          <w:p>
            <w:pPr>
              <w:spacing w:after="0"/>
              <w:rPr>
                <w:sz w:val="15"/>
                <w:szCs w:val="15"/>
                <w:color w:val="auto"/>
              </w:rPr>
            </w:pPr>
          </w:p>
        </w:tc>
      </w:tr>
      <w:tr>
        <w:trPr>
          <w:trHeight w:val="176"/>
        </w:trPr>
        <w:tc>
          <w:tcPr>
            <w:tcW w:w="7680" w:type="dxa"/>
            <w:vAlign w:val="bottom"/>
          </w:tcPr>
          <w:p>
            <w:pPr>
              <w:ind w:left="20"/>
              <w:spacing w:after="0"/>
              <w:rPr>
                <w:sz w:val="20"/>
                <w:szCs w:val="20"/>
                <w:color w:val="auto"/>
              </w:rPr>
            </w:pPr>
            <w:r>
              <w:rPr>
                <w:rFonts w:ascii="Arial" w:cs="Arial" w:eastAsia="Arial" w:hAnsi="Arial"/>
                <w:sz w:val="14"/>
                <w:szCs w:val="14"/>
                <w:color w:val="auto"/>
              </w:rPr>
              <w:t>Equity method investment in unconsolidated variable interest entity</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4,494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3,825</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84,654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91,112</w:t>
            </w:r>
          </w:p>
        </w:tc>
        <w:tc>
          <w:tcPr>
            <w:tcW w:w="100" w:type="dxa"/>
            <w:vAlign w:val="bottom"/>
            <w:shd w:val="clear" w:color="auto" w:fill="CFF0FC"/>
          </w:tcPr>
          <w:p>
            <w:pPr>
              <w:spacing w:after="0"/>
              <w:rPr>
                <w:sz w:val="15"/>
                <w:szCs w:val="15"/>
                <w:color w:val="auto"/>
              </w:rPr>
            </w:pPr>
          </w:p>
        </w:tc>
      </w:tr>
      <w:tr>
        <w:trPr>
          <w:trHeight w:val="176"/>
        </w:trPr>
        <w:tc>
          <w:tcPr>
            <w:tcW w:w="768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4,501</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6,680</w:t>
            </w:r>
          </w:p>
        </w:tc>
        <w:tc>
          <w:tcPr>
            <w:tcW w:w="100" w:type="dxa"/>
            <w:vAlign w:val="bottom"/>
          </w:tcPr>
          <w:p>
            <w:pPr>
              <w:spacing w:after="0"/>
              <w:rPr>
                <w:sz w:val="15"/>
                <w:szCs w:val="15"/>
                <w:color w:val="auto"/>
              </w:rPr>
            </w:pPr>
          </w:p>
        </w:tc>
      </w:tr>
      <w:tr>
        <w:trPr>
          <w:trHeight w:val="209"/>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686,789</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773,821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Liabilities, stockholders’ equity and non-controlling interests</w:t>
            </w:r>
          </w:p>
        </w:tc>
        <w:tc>
          <w:tcPr>
            <w:tcW w:w="2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29,360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26,097</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0"/>
              <w:spacing w:after="0"/>
              <w:rPr>
                <w:sz w:val="20"/>
                <w:szCs w:val="20"/>
                <w:color w:val="auto"/>
              </w:rPr>
            </w:pPr>
            <w:r>
              <w:rPr>
                <w:rFonts w:ascii="Arial" w:cs="Arial" w:eastAsia="Arial" w:hAnsi="Arial"/>
                <w:sz w:val="14"/>
                <w:szCs w:val="14"/>
                <w:color w:val="auto"/>
              </w:rPr>
              <w:t>Accrued and other current liabilities ($43,286 and $4 to a related party)</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193,099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172,599</w:t>
            </w:r>
          </w:p>
        </w:tc>
        <w:tc>
          <w:tcPr>
            <w:tcW w:w="100" w:type="dxa"/>
            <w:vAlign w:val="bottom"/>
          </w:tcPr>
          <w:p>
            <w:pPr>
              <w:spacing w:after="0"/>
              <w:rPr>
                <w:sz w:val="15"/>
                <w:szCs w:val="15"/>
                <w:color w:val="auto"/>
              </w:rPr>
            </w:pPr>
          </w:p>
        </w:tc>
      </w:tr>
      <w:tr>
        <w:trPr>
          <w:trHeight w:val="176"/>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revenue ($5,204 and $3,201 to related parties)</w:t>
            </w:r>
          </w:p>
        </w:tc>
        <w:tc>
          <w:tcPr>
            <w:tcW w:w="26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15,857</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Operating lease liabilities, current</w:t>
            </w: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10,984</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10,944</w:t>
            </w:r>
          </w:p>
        </w:tc>
        <w:tc>
          <w:tcPr>
            <w:tcW w:w="100" w:type="dxa"/>
            <w:vAlign w:val="bottom"/>
            <w:tcBorders>
              <w:bottom w:val="single" w:sz="8" w:color="CFF0FC"/>
            </w:tcBorders>
          </w:tcPr>
          <w:p>
            <w:pPr>
              <w:spacing w:after="0"/>
              <w:rPr>
                <w:sz w:val="15"/>
                <w:szCs w:val="15"/>
                <w:color w:val="auto"/>
              </w:rPr>
            </w:pPr>
          </w:p>
        </w:tc>
      </w:tr>
      <w:tr>
        <w:trPr>
          <w:trHeight w:val="169"/>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240,340</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225,497</w:t>
            </w:r>
          </w:p>
        </w:tc>
        <w:tc>
          <w:tcPr>
            <w:tcW w:w="100" w:type="dxa"/>
            <w:vAlign w:val="bottom"/>
            <w:shd w:val="clear" w:color="auto" w:fill="CFF0FC"/>
          </w:tcPr>
          <w:p>
            <w:pPr>
              <w:spacing w:after="0"/>
              <w:rPr>
                <w:sz w:val="14"/>
                <w:szCs w:val="14"/>
                <w:color w:val="auto"/>
              </w:rPr>
            </w:pPr>
          </w:p>
        </w:tc>
      </w:tr>
      <w:tr>
        <w:trPr>
          <w:trHeight w:val="176"/>
        </w:trPr>
        <w:tc>
          <w:tcPr>
            <w:tcW w:w="7680" w:type="dxa"/>
            <w:vAlign w:val="bottom"/>
          </w:tcPr>
          <w:p>
            <w:pPr>
              <w:ind w:left="20"/>
              <w:spacing w:after="0"/>
              <w:rPr>
                <w:sz w:val="20"/>
                <w:szCs w:val="20"/>
                <w:color w:val="auto"/>
              </w:rPr>
            </w:pPr>
            <w:r>
              <w:rPr>
                <w:rFonts w:ascii="Arial" w:cs="Arial" w:eastAsia="Arial" w:hAnsi="Arial"/>
                <w:sz w:val="14"/>
                <w:szCs w:val="14"/>
                <w:color w:val="auto"/>
              </w:rPr>
              <w:t>Product development obligations</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16,439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17,613</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revenue, net of current ($49,733 and $25,891 to a related party)</w:t>
            </w:r>
          </w:p>
        </w:tc>
        <w:tc>
          <w:tcPr>
            <w:tcW w:w="26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205,351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186,801</w:t>
            </w:r>
          </w:p>
        </w:tc>
        <w:tc>
          <w:tcPr>
            <w:tcW w:w="100" w:type="dxa"/>
            <w:vAlign w:val="bottom"/>
            <w:shd w:val="clear" w:color="auto" w:fill="CFF0FC"/>
          </w:tcPr>
          <w:p>
            <w:pPr>
              <w:spacing w:after="0"/>
              <w:rPr>
                <w:sz w:val="15"/>
                <w:szCs w:val="15"/>
                <w:color w:val="auto"/>
              </w:rPr>
            </w:pPr>
          </w:p>
        </w:tc>
      </w:tr>
      <w:tr>
        <w:trPr>
          <w:trHeight w:val="176"/>
        </w:trPr>
        <w:tc>
          <w:tcPr>
            <w:tcW w:w="7680" w:type="dxa"/>
            <w:vAlign w:val="bottom"/>
          </w:tcPr>
          <w:p>
            <w:pPr>
              <w:ind w:left="20"/>
              <w:spacing w:after="0"/>
              <w:rPr>
                <w:sz w:val="20"/>
                <w:szCs w:val="20"/>
                <w:color w:val="auto"/>
              </w:rPr>
            </w:pPr>
            <w:r>
              <w:rPr>
                <w:rFonts w:ascii="Arial" w:cs="Arial" w:eastAsia="Arial" w:hAnsi="Arial"/>
                <w:sz w:val="14"/>
                <w:szCs w:val="14"/>
                <w:color w:val="auto"/>
              </w:rPr>
              <w:t>Operating lease liabilities, non-current</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83,080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88,776</w:t>
            </w:r>
          </w:p>
        </w:tc>
        <w:tc>
          <w:tcPr>
            <w:tcW w:w="100" w:type="dxa"/>
            <w:vAlign w:val="bottom"/>
          </w:tcPr>
          <w:p>
            <w:pPr>
              <w:spacing w:after="0"/>
              <w:rPr>
                <w:sz w:val="15"/>
                <w:szCs w:val="15"/>
                <w:color w:val="auto"/>
              </w:rPr>
            </w:pPr>
          </w:p>
        </w:tc>
      </w:tr>
      <w:tr>
        <w:trPr>
          <w:trHeight w:val="175"/>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long-term liabilities</w:t>
            </w:r>
          </w:p>
        </w:tc>
        <w:tc>
          <w:tcPr>
            <w:tcW w:w="26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17,832</w:t>
            </w:r>
          </w:p>
        </w:tc>
        <w:tc>
          <w:tcPr>
            <w:tcW w:w="2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26,021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8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563,042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544,708</w:t>
            </w:r>
          </w:p>
        </w:tc>
        <w:tc>
          <w:tcPr>
            <w:tcW w:w="100" w:type="dxa"/>
            <w:vAlign w:val="bottom"/>
          </w:tcPr>
          <w:p>
            <w:pPr>
              <w:spacing w:after="0"/>
              <w:rPr>
                <w:sz w:val="14"/>
                <w:szCs w:val="14"/>
                <w:color w:val="auto"/>
              </w:rPr>
            </w:pPr>
          </w:p>
        </w:tc>
      </w:tr>
      <w:tr>
        <w:trPr>
          <w:trHeight w:val="175"/>
        </w:trPr>
        <w:tc>
          <w:tcPr>
            <w:tcW w:w="76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3"/>
        </w:trPr>
        <w:tc>
          <w:tcPr>
            <w:tcW w:w="768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Preferred stock, $0.01 par value; 125,000 shares authorized; no shares issued</w:t>
            </w:r>
          </w:p>
        </w:tc>
        <w:tc>
          <w:tcPr>
            <w:tcW w:w="26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and outstanding at June 30, 2022 and December 31, 2021</w:t>
            </w:r>
          </w:p>
        </w:tc>
        <w:tc>
          <w:tcPr>
            <w:tcW w:w="26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7680" w:type="dxa"/>
            <w:vAlign w:val="bottom"/>
          </w:tcPr>
          <w:p>
            <w:pPr>
              <w:ind w:left="200"/>
              <w:spacing w:after="0" w:line="143" w:lineRule="exact"/>
              <w:rPr>
                <w:sz w:val="20"/>
                <w:szCs w:val="20"/>
                <w:color w:val="auto"/>
              </w:rPr>
            </w:pPr>
            <w:r>
              <w:rPr>
                <w:rFonts w:ascii="Arial" w:cs="Arial" w:eastAsia="Arial" w:hAnsi="Arial"/>
                <w:sz w:val="14"/>
                <w:szCs w:val="14"/>
                <w:color w:val="auto"/>
              </w:rPr>
              <w:t>Common stock, $0.01 par value; 225,000 shares authorized at June 30, 2022</w:t>
            </w: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680" w:type="dxa"/>
            <w:vAlign w:val="bottom"/>
          </w:tcPr>
          <w:p>
            <w:pPr>
              <w:ind w:left="300"/>
              <w:spacing w:after="0" w:line="149" w:lineRule="exact"/>
              <w:rPr>
                <w:sz w:val="20"/>
                <w:szCs w:val="20"/>
                <w:color w:val="auto"/>
              </w:rPr>
            </w:pPr>
            <w:r>
              <w:rPr>
                <w:rFonts w:ascii="Arial" w:cs="Arial" w:eastAsia="Arial" w:hAnsi="Arial"/>
                <w:sz w:val="14"/>
                <w:szCs w:val="14"/>
                <w:color w:val="auto"/>
              </w:rPr>
              <w:t>and December 31, 2021; 93,733 and 92,881 shares issued and outstanding at</w:t>
            </w: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7680" w:type="dxa"/>
            <w:vAlign w:val="bottom"/>
          </w:tcPr>
          <w:p>
            <w:pPr>
              <w:ind w:left="280"/>
              <w:spacing w:after="0"/>
              <w:rPr>
                <w:sz w:val="20"/>
                <w:szCs w:val="20"/>
                <w:color w:val="auto"/>
              </w:rPr>
            </w:pPr>
            <w:r>
              <w:rPr>
                <w:rFonts w:ascii="Arial" w:cs="Arial" w:eastAsia="Arial" w:hAnsi="Arial"/>
                <w:sz w:val="14"/>
                <w:szCs w:val="14"/>
                <w:color w:val="auto"/>
              </w:rPr>
              <w:t>June 30, 2022 and December 31, 2021</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937</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929</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1,509,636</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1,476,414</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tcPr>
          <w:p>
            <w:pPr>
              <w:spacing w:after="0"/>
              <w:rPr>
                <w:sz w:val="15"/>
                <w:szCs w:val="15"/>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(6,930 )</w:t>
            </w:r>
          </w:p>
        </w:tc>
        <w:tc>
          <w:tcPr>
            <w:tcW w:w="140" w:type="dxa"/>
            <w:vAlign w:val="bottom"/>
          </w:tcPr>
          <w:p>
            <w:pPr>
              <w:spacing w:after="0"/>
              <w:rPr>
                <w:sz w:val="15"/>
                <w:szCs w:val="15"/>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4"/>
                <w:szCs w:val="14"/>
                <w:color w:val="auto"/>
              </w:rPr>
              <w:t>(4,163 )</w:t>
            </w: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deficit</w:t>
            </w:r>
          </w:p>
        </w:tc>
        <w:tc>
          <w:tcPr>
            <w:tcW w:w="26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(1,399,863 )</w:t>
            </w: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(1,264,034 )</w:t>
            </w:r>
          </w:p>
        </w:tc>
      </w:tr>
      <w:tr>
        <w:trPr>
          <w:trHeight w:val="169"/>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103,780</w:t>
            </w:r>
          </w:p>
        </w:tc>
        <w:tc>
          <w:tcPr>
            <w:tcW w:w="28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209,146</w:t>
            </w:r>
          </w:p>
        </w:tc>
        <w:tc>
          <w:tcPr>
            <w:tcW w:w="100" w:type="dxa"/>
            <w:vAlign w:val="bottom"/>
            <w:tcBorders>
              <w:top w:val="single" w:sz="8" w:color="CFF0FC"/>
            </w:tcBorders>
          </w:tcPr>
          <w:p>
            <w:pPr>
              <w:spacing w:after="0"/>
              <w:rPr>
                <w:sz w:val="14"/>
                <w:szCs w:val="14"/>
                <w:color w:val="auto"/>
              </w:rPr>
            </w:pPr>
          </w:p>
        </w:tc>
      </w:tr>
      <w:tr>
        <w:trPr>
          <w:trHeight w:val="175"/>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Non-controlling interests</w:t>
            </w:r>
          </w:p>
        </w:tc>
        <w:tc>
          <w:tcPr>
            <w:tcW w:w="26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19,967</w:t>
            </w:r>
          </w:p>
        </w:tc>
        <w:tc>
          <w:tcPr>
            <w:tcW w:w="2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19,967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4"/>
                <w:szCs w:val="14"/>
                <w:color w:val="auto"/>
              </w:rPr>
              <w:t>Total equity</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123,747</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229,113</w:t>
            </w:r>
          </w:p>
        </w:tc>
        <w:tc>
          <w:tcPr>
            <w:tcW w:w="100" w:type="dxa"/>
            <w:vAlign w:val="bottom"/>
          </w:tcPr>
          <w:p>
            <w:pPr>
              <w:spacing w:after="0"/>
              <w:rPr>
                <w:sz w:val="14"/>
                <w:szCs w:val="14"/>
                <w:color w:val="auto"/>
              </w:rPr>
            </w:pP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liabilities, stockholders’ equity and non-controlling interests</w:t>
            </w:r>
          </w:p>
        </w:tc>
        <w:tc>
          <w:tcPr>
            <w:tcW w:w="2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686,789</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773,821</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-4179570</wp:posOffset>
            </wp:positionV>
            <wp:extent cx="6858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-4179570</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-3274060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-3256915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-2468245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-1899285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-1899285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-493395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-493395</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-262255</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5"/>
          </w:tcPr>
          <w:p>
            <w:pPr>
              <w:jc w:val="right"/>
              <w:ind w:right="61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520" w:type="dxa"/>
            <w:vAlign w:val="bottom"/>
            <w:gridSpan w:val="5"/>
          </w:tcPr>
          <w:p>
            <w:pPr>
              <w:jc w:val="right"/>
              <w:ind w:right="52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440" w:type="dxa"/>
            <w:vAlign w:val="bottom"/>
          </w:tcPr>
          <w:p>
            <w:pPr>
              <w:ind w:left="200"/>
              <w:spacing w:after="0" w:line="162" w:lineRule="exact"/>
              <w:rPr>
                <w:sz w:val="20"/>
                <w:szCs w:val="20"/>
                <w:color w:val="auto"/>
              </w:rPr>
            </w:pPr>
            <w:r>
              <w:rPr>
                <w:rFonts w:ascii="Arial" w:cs="Arial" w:eastAsia="Arial" w:hAnsi="Arial"/>
                <w:sz w:val="18"/>
                <w:szCs w:val="18"/>
                <w:color w:val="auto"/>
              </w:rPr>
              <w:t>License revenue (includes $0, $0 and $22,590</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22,590</w:t>
            </w:r>
          </w:p>
        </w:tc>
        <w:tc>
          <w:tcPr>
            <w:tcW w:w="260" w:type="dxa"/>
            <w:vAlign w:val="bottom"/>
          </w:tcPr>
          <w:p>
            <w:pPr>
              <w:spacing w:after="0"/>
              <w:rPr>
                <w:sz w:val="14"/>
                <w:szCs w:val="14"/>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340"/>
              <w:spacing w:after="0"/>
              <w:rPr>
                <w:sz w:val="20"/>
                <w:szCs w:val="20"/>
                <w:color w:val="auto"/>
              </w:rPr>
            </w:pPr>
            <w:r>
              <w:rPr>
                <w:rFonts w:ascii="Arial" w:cs="Arial" w:eastAsia="Arial" w:hAnsi="Arial"/>
                <w:sz w:val="18"/>
                <w:szCs w:val="18"/>
                <w:color w:val="auto"/>
              </w:rPr>
              <w:t>and $0 from a related party)</w:t>
            </w:r>
          </w:p>
        </w:tc>
        <w:tc>
          <w:tcPr>
            <w:tcW w:w="28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4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Development and other revenue (includes $1,825, $2,645,</w:t>
            </w:r>
          </w:p>
        </w:tc>
        <w:tc>
          <w:tcPr>
            <w:tcW w:w="28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5,457</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19,641</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17,219</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34,228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$7,005 and $6,256 from a related party)</w:t>
            </w:r>
          </w:p>
        </w:tc>
        <w:tc>
          <w:tcPr>
            <w:tcW w:w="28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440" w:type="dxa"/>
            <w:vAlign w:val="bottom"/>
          </w:tcPr>
          <w:p>
            <w:pPr>
              <w:ind w:left="200"/>
              <w:spacing w:after="0" w:line="162" w:lineRule="exact"/>
              <w:rPr>
                <w:sz w:val="20"/>
                <w:szCs w:val="20"/>
                <w:color w:val="auto"/>
              </w:rPr>
            </w:pPr>
            <w:r>
              <w:rPr>
                <w:rFonts w:ascii="Arial" w:cs="Arial" w:eastAsia="Arial" w:hAnsi="Arial"/>
                <w:sz w:val="18"/>
                <w:szCs w:val="18"/>
                <w:color w:val="auto"/>
              </w:rPr>
              <w:t>Product revenue, net (includes $19,736, $11,760, $35,959,</w:t>
            </w:r>
          </w:p>
        </w:tc>
        <w:tc>
          <w:tcPr>
            <w:tcW w:w="2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23,256</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13,371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42,137</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28,733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40"/>
              <w:spacing w:after="0"/>
              <w:rPr>
                <w:sz w:val="20"/>
                <w:szCs w:val="20"/>
                <w:color w:val="auto"/>
              </w:rPr>
            </w:pPr>
            <w:r>
              <w:rPr>
                <w:rFonts w:ascii="Arial" w:cs="Arial" w:eastAsia="Arial" w:hAnsi="Arial"/>
                <w:sz w:val="18"/>
                <w:szCs w:val="18"/>
                <w:color w:val="auto"/>
              </w:rPr>
              <w:t>and $22,167 from a related party)</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4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Drug product revenue (includes $1,093, $(1,974), $8,687</w:t>
            </w:r>
          </w:p>
        </w:tc>
        <w:tc>
          <w:tcPr>
            <w:tcW w:w="28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1,093</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90"/>
              <w:spacing w:after="0"/>
              <w:rPr>
                <w:sz w:val="20"/>
                <w:szCs w:val="20"/>
                <w:color w:val="auto"/>
              </w:rPr>
            </w:pPr>
            <w:r>
              <w:rPr>
                <w:rFonts w:ascii="Arial" w:cs="Arial" w:eastAsia="Arial" w:hAnsi="Arial"/>
                <w:sz w:val="18"/>
                <w:szCs w:val="18"/>
                <w:color w:val="auto"/>
              </w:rPr>
              <w:t>(8,648 )</w:t>
            </w:r>
          </w:p>
        </w:tc>
        <w:tc>
          <w:tcPr>
            <w:tcW w:w="28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8,687</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and $2,056 from a related party)</w:t>
            </w:r>
          </w:p>
        </w:tc>
        <w:tc>
          <w:tcPr>
            <w:tcW w:w="280" w:type="dxa"/>
            <w:vAlign w:val="bottom"/>
            <w:shd w:val="clear" w:color="auto" w:fill="CFF0FC"/>
          </w:tcPr>
          <w:p>
            <w:pPr>
              <w:spacing w:after="0"/>
              <w:rPr>
                <w:sz w:val="17"/>
                <w:szCs w:val="17"/>
                <w:color w:val="auto"/>
              </w:rPr>
            </w:pPr>
          </w:p>
        </w:tc>
        <w:tc>
          <w:tcPr>
            <w:tcW w:w="94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29,806</w:t>
            </w: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24,364</w:t>
            </w: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90,633</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62,793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Operating costs and expenses: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Cost of goods sold</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6,809</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3,078</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11,048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70,963</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122,567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159,981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197,243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30,258</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32,554</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60,820</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63,334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costs and expenses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108,030</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158,199</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231,849</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267,056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Loss from operations</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(78,224</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(133,835</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(141,216</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(204,263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Interest and other, net</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7"/>
                <w:szCs w:val="17"/>
                <w:color w:val="auto"/>
              </w:rPr>
            </w:pPr>
          </w:p>
        </w:tc>
        <w:tc>
          <w:tcPr>
            <w:tcW w:w="12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(141 )</w:t>
            </w:r>
          </w:p>
        </w:tc>
        <w:tc>
          <w:tcPr>
            <w:tcW w:w="300" w:type="dxa"/>
            <w:vAlign w:val="bottom"/>
          </w:tcPr>
          <w:p>
            <w:pPr>
              <w:spacing w:after="0"/>
              <w:rPr>
                <w:sz w:val="17"/>
                <w:szCs w:val="17"/>
                <w:color w:val="auto"/>
              </w:rPr>
            </w:pPr>
          </w:p>
        </w:tc>
        <w:tc>
          <w:tcPr>
            <w:tcW w:w="12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(355 )</w:t>
            </w:r>
          </w:p>
        </w:tc>
        <w:tc>
          <w:tcPr>
            <w:tcW w:w="280" w:type="dxa"/>
            <w:vAlign w:val="bottom"/>
          </w:tcPr>
          <w:p>
            <w:pPr>
              <w:spacing w:after="0"/>
              <w:rPr>
                <w:sz w:val="17"/>
                <w:szCs w:val="17"/>
                <w:color w:val="auto"/>
              </w:rPr>
            </w:pPr>
          </w:p>
        </w:tc>
        <w:tc>
          <w:tcPr>
            <w:tcW w:w="11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(238 )</w:t>
            </w:r>
          </w:p>
        </w:tc>
        <w:tc>
          <w:tcPr>
            <w:tcW w:w="30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(856 )</w:t>
            </w: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 and other income (expenses), net</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5,199</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(363 )</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4,876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(817 )</w:t>
            </w: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tcPr>
          <w:p>
            <w:pPr>
              <w:ind w:left="380"/>
              <w:spacing w:after="0" w:line="196" w:lineRule="exact"/>
              <w:rPr>
                <w:sz w:val="20"/>
                <w:szCs w:val="20"/>
                <w:color w:val="auto"/>
              </w:rPr>
            </w:pPr>
            <w:r>
              <w:rPr>
                <w:rFonts w:ascii="Arial" w:cs="Arial" w:eastAsia="Arial" w:hAnsi="Arial"/>
                <w:sz w:val="18"/>
                <w:szCs w:val="18"/>
                <w:color w:val="auto"/>
              </w:rPr>
              <w:t>Total interest and other, net</w:t>
            </w:r>
          </w:p>
        </w:tc>
        <w:tc>
          <w:tcPr>
            <w:tcW w:w="2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5,058</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(718 )</w:t>
            </w:r>
          </w:p>
        </w:tc>
        <w:tc>
          <w:tcPr>
            <w:tcW w:w="2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4,638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(1,673 )</w:t>
            </w:r>
          </w:p>
        </w:tc>
        <w:tc>
          <w:tcPr>
            <w:tcW w:w="0" w:type="dxa"/>
            <w:vAlign w:val="bottom"/>
          </w:tcPr>
          <w:p>
            <w:pPr>
              <w:spacing w:after="0"/>
              <w:rPr>
                <w:sz w:val="1"/>
                <w:szCs w:val="1"/>
                <w:color w:val="auto"/>
              </w:rPr>
            </w:pPr>
          </w:p>
        </w:tc>
      </w:tr>
      <w:tr>
        <w:trPr>
          <w:trHeight w:val="196"/>
        </w:trPr>
        <w:tc>
          <w:tcPr>
            <w:tcW w:w="54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Loss before income taxes</w:t>
            </w:r>
          </w:p>
        </w:tc>
        <w:tc>
          <w:tcPr>
            <w:tcW w:w="280" w:type="dxa"/>
            <w:vAlign w:val="bottom"/>
          </w:tcPr>
          <w:p>
            <w:pPr>
              <w:spacing w:after="0"/>
              <w:rPr>
                <w:sz w:val="17"/>
                <w:szCs w:val="17"/>
                <w:color w:val="auto"/>
              </w:rPr>
            </w:pPr>
          </w:p>
        </w:tc>
        <w:tc>
          <w:tcPr>
            <w:tcW w:w="12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(73,166 )</w:t>
            </w:r>
          </w:p>
        </w:tc>
        <w:tc>
          <w:tcPr>
            <w:tcW w:w="300" w:type="dxa"/>
            <w:vAlign w:val="bottom"/>
          </w:tcPr>
          <w:p>
            <w:pPr>
              <w:spacing w:after="0"/>
              <w:rPr>
                <w:sz w:val="17"/>
                <w:szCs w:val="17"/>
                <w:color w:val="auto"/>
              </w:rPr>
            </w:pPr>
          </w:p>
        </w:tc>
        <w:tc>
          <w:tcPr>
            <w:tcW w:w="12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(134,553 )</w:t>
            </w:r>
          </w:p>
        </w:tc>
        <w:tc>
          <w:tcPr>
            <w:tcW w:w="280" w:type="dxa"/>
            <w:vAlign w:val="bottom"/>
          </w:tcPr>
          <w:p>
            <w:pPr>
              <w:spacing w:after="0"/>
              <w:rPr>
                <w:sz w:val="17"/>
                <w:szCs w:val="17"/>
                <w:color w:val="auto"/>
              </w:rPr>
            </w:pPr>
          </w:p>
        </w:tc>
        <w:tc>
          <w:tcPr>
            <w:tcW w:w="11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(136,578 )</w:t>
            </w:r>
          </w:p>
        </w:tc>
        <w:tc>
          <w:tcPr>
            <w:tcW w:w="30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(205,936 )</w:t>
            </w: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Provision for (benefit from) income taxes</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(3 )</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440" w:type="dxa"/>
            <w:vAlign w:val="bottom"/>
          </w:tcPr>
          <w:p>
            <w:pPr>
              <w:ind w:left="200"/>
              <w:spacing w:after="0" w:line="162" w:lineRule="exact"/>
              <w:rPr>
                <w:sz w:val="20"/>
                <w:szCs w:val="20"/>
                <w:color w:val="auto"/>
              </w:rPr>
            </w:pPr>
            <w:r>
              <w:rPr>
                <w:rFonts w:ascii="Arial" w:cs="Arial" w:eastAsia="Arial" w:hAnsi="Arial"/>
                <w:sz w:val="18"/>
                <w:szCs w:val="18"/>
                <w:color w:val="auto"/>
              </w:rPr>
              <w:t>Investment income in unconsolidated variable</w:t>
            </w:r>
          </w:p>
        </w:tc>
        <w:tc>
          <w:tcPr>
            <w:tcW w:w="2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565</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562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885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340"/>
              <w:spacing w:after="0" w:line="202" w:lineRule="exact"/>
              <w:rPr>
                <w:sz w:val="20"/>
                <w:szCs w:val="20"/>
                <w:color w:val="auto"/>
              </w:rPr>
            </w:pPr>
            <w:r>
              <w:rPr>
                <w:rFonts w:ascii="Arial" w:cs="Arial" w:eastAsia="Arial" w:hAnsi="Arial"/>
                <w:sz w:val="18"/>
                <w:szCs w:val="18"/>
                <w:color w:val="auto"/>
              </w:rPr>
              <w:t>interest entity</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(72,624</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(133,988</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(135,829</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(205,743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5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 per share - basic and diluted</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(0.78 )</w:t>
            </w: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(1.45 )</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(1.46 )</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4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Weighted average number of common shares used to calculate</w:t>
            </w:r>
          </w:p>
        </w:tc>
        <w:tc>
          <w:tcPr>
            <w:tcW w:w="28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93,475</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92,276</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93,260</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91,983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net loss per share - basic and diluted</w:t>
            </w:r>
          </w:p>
        </w:tc>
        <w:tc>
          <w:tcPr>
            <w:tcW w:w="28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-3116580</wp:posOffset>
            </wp:positionV>
            <wp:extent cx="7747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-3116580</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-3116580</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-3116580</wp:posOffset>
            </wp:positionV>
            <wp:extent cx="68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-2336800</wp:posOffset>
            </wp:positionV>
            <wp:extent cx="7747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-2336800</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-2336800</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-2336800</wp:posOffset>
            </wp:positionV>
            <wp:extent cx="6858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-1548130</wp:posOffset>
            </wp:positionV>
            <wp:extent cx="7747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-1548130</wp:posOffset>
            </wp:positionV>
            <wp:extent cx="685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-1548130</wp:posOffset>
            </wp:positionV>
            <wp:extent cx="685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-1548130</wp:posOffset>
            </wp:positionV>
            <wp:extent cx="685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-650875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-633730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-650875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-633730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-650875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-633730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jc w:val="right"/>
              <w:ind w:right="59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480" w:type="dxa"/>
            <w:vAlign w:val="bottom"/>
            <w:gridSpan w:val="5"/>
          </w:tcPr>
          <w:p>
            <w:pPr>
              <w:jc w:val="right"/>
              <w:ind w:right="501"/>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5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5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(72,624</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(133,988</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(135,829</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(205,743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552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408</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(30 )</w:t>
            </w:r>
          </w:p>
        </w:tc>
      </w:tr>
      <w:tr>
        <w:trPr>
          <w:trHeight w:val="203"/>
        </w:trPr>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Available-for-sale investments: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Unrealized gain (loss) on investments, net of tax effect</w:t>
            </w: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(584 )</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(3,175 )</w:t>
            </w:r>
          </w:p>
        </w:tc>
        <w:tc>
          <w:tcPr>
            <w:tcW w:w="2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(38 )</w:t>
            </w:r>
          </w:p>
        </w:tc>
      </w:tr>
      <w:tr>
        <w:trPr>
          <w:trHeight w:val="20"/>
        </w:trPr>
        <w:tc>
          <w:tcPr>
            <w:tcW w:w="5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520" w:type="dxa"/>
            <w:vAlign w:val="bottom"/>
          </w:tcPr>
          <w:p>
            <w:pPr>
              <w:ind w:left="20"/>
              <w:spacing w:after="0" w:line="196" w:lineRule="exact"/>
              <w:rPr>
                <w:sz w:val="20"/>
                <w:szCs w:val="20"/>
                <w:color w:val="auto"/>
              </w:rPr>
            </w:pPr>
            <w:r>
              <w:rPr>
                <w:rFonts w:ascii="Arial" w:cs="Arial" w:eastAsia="Arial" w:hAnsi="Arial"/>
                <w:sz w:val="18"/>
                <w:szCs w:val="18"/>
                <w:color w:val="auto"/>
              </w:rPr>
              <w:t>Other comprehensive gain (loss), net of taxes</w:t>
            </w:r>
          </w:p>
        </w:tc>
        <w:tc>
          <w:tcPr>
            <w:tcW w:w="260" w:type="dxa"/>
            <w:vAlign w:val="bottom"/>
          </w:tcPr>
          <w:p>
            <w:pPr>
              <w:spacing w:after="0"/>
              <w:rPr>
                <w:sz w:val="17"/>
                <w:szCs w:val="17"/>
                <w:color w:val="auto"/>
              </w:rPr>
            </w:pPr>
          </w:p>
        </w:tc>
        <w:tc>
          <w:tcPr>
            <w:tcW w:w="122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(425 )</w:t>
            </w:r>
          </w:p>
        </w:tc>
        <w:tc>
          <w:tcPr>
            <w:tcW w:w="3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(2,767 )</w:t>
            </w:r>
          </w:p>
        </w:tc>
        <w:tc>
          <w:tcPr>
            <w:tcW w:w="280" w:type="dxa"/>
            <w:vAlign w:val="bottom"/>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(68 )</w:t>
            </w:r>
          </w:p>
        </w:tc>
      </w:tr>
      <w:tr>
        <w:trPr>
          <w:trHeight w:val="236"/>
        </w:trPr>
        <w:tc>
          <w:tcPr>
            <w:tcW w:w="55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Comprehensive loss</w:t>
            </w: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(73,049</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(133,931</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(138,596</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(205,811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-296545</wp:posOffset>
            </wp:positionV>
            <wp:extent cx="7747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-296545</wp:posOffset>
            </wp:positionV>
            <wp:extent cx="685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-296545</wp:posOffset>
            </wp:positionV>
            <wp:extent cx="685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-25400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-8255</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For The Three Month Period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04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gridSpan w:val="2"/>
          </w:tcPr>
          <w:p>
            <w:pPr>
              <w:jc w:val="center"/>
              <w:ind w:right="400"/>
              <w:spacing w:after="0" w:line="107" w:lineRule="exact"/>
              <w:rPr>
                <w:sz w:val="20"/>
                <w:szCs w:val="20"/>
                <w:color w:val="auto"/>
              </w:rPr>
            </w:pPr>
            <w:r>
              <w:rPr>
                <w:rFonts w:ascii="Arial" w:cs="Arial" w:eastAsia="Arial" w:hAnsi="Arial"/>
                <w:sz w:val="12"/>
                <w:szCs w:val="12"/>
                <w:b w:val="1"/>
                <w:bCs w:val="1"/>
                <w:color w:val="auto"/>
                <w:w w:val="87"/>
              </w:rPr>
              <w:t>Accumulated</w:t>
            </w: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2120" w:type="dxa"/>
            <w:vAlign w:val="bottom"/>
            <w:gridSpan w:val="3"/>
            <w:vMerge w:val="restart"/>
          </w:tcPr>
          <w:p>
            <w:pPr>
              <w:jc w:val="right"/>
              <w:ind w:right="455"/>
              <w:spacing w:after="0"/>
              <w:rPr>
                <w:sz w:val="20"/>
                <w:szCs w:val="20"/>
                <w:color w:val="auto"/>
              </w:rPr>
            </w:pPr>
            <w:r>
              <w:rPr>
                <w:rFonts w:ascii="Arial" w:cs="Arial" w:eastAsia="Arial" w:hAnsi="Arial"/>
                <w:sz w:val="12"/>
                <w:szCs w:val="12"/>
                <w:b w:val="1"/>
                <w:bCs w:val="1"/>
                <w:color w:val="auto"/>
              </w:rPr>
              <w:t>Common Stock</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230"/>
              <w:spacing w:after="0" w:line="122" w:lineRule="exact"/>
              <w:rPr>
                <w:sz w:val="20"/>
                <w:szCs w:val="20"/>
                <w:color w:val="auto"/>
              </w:rPr>
            </w:pPr>
            <w:r>
              <w:rPr>
                <w:rFonts w:ascii="Arial" w:cs="Arial" w:eastAsia="Arial" w:hAnsi="Arial"/>
                <w:sz w:val="12"/>
                <w:szCs w:val="12"/>
                <w:b w:val="1"/>
                <w:bCs w:val="1"/>
                <w:color w:val="auto"/>
              </w:rPr>
              <w:t>Additional</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400"/>
              <w:spacing w:after="0" w:line="122"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70"/>
              <w:spacing w:after="0" w:line="122" w:lineRule="exact"/>
              <w:rPr>
                <w:sz w:val="20"/>
                <w:szCs w:val="20"/>
                <w:color w:val="auto"/>
              </w:rPr>
            </w:pPr>
            <w:r>
              <w:rPr>
                <w:rFonts w:ascii="Arial" w:cs="Arial" w:eastAsia="Arial" w:hAnsi="Arial"/>
                <w:sz w:val="12"/>
                <w:szCs w:val="12"/>
                <w:b w:val="1"/>
                <w:bCs w:val="1"/>
                <w:color w:val="auto"/>
                <w:w w:val="85"/>
              </w:rPr>
              <w:t>Non</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40" w:type="dxa"/>
            <w:vAlign w:val="bottom"/>
          </w:tcPr>
          <w:p>
            <w:pPr>
              <w:spacing w:after="0"/>
              <w:rPr>
                <w:sz w:val="12"/>
                <w:szCs w:val="12"/>
                <w:color w:val="auto"/>
              </w:rPr>
            </w:pPr>
          </w:p>
        </w:tc>
        <w:tc>
          <w:tcPr>
            <w:tcW w:w="2120" w:type="dxa"/>
            <w:vAlign w:val="bottom"/>
            <w:tcBorders>
              <w:bottom w:val="single" w:sz="8" w:color="auto"/>
            </w:tcBorders>
            <w:gridSpan w:val="3"/>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290"/>
              <w:spacing w:after="0"/>
              <w:rPr>
                <w:sz w:val="20"/>
                <w:szCs w:val="20"/>
                <w:color w:val="auto"/>
              </w:rPr>
            </w:pPr>
            <w:r>
              <w:rPr>
                <w:rFonts w:ascii="Arial" w:cs="Arial" w:eastAsia="Arial" w:hAnsi="Arial"/>
                <w:sz w:val="12"/>
                <w:szCs w:val="12"/>
                <w:b w:val="1"/>
                <w:bCs w:val="1"/>
                <w:color w:val="auto"/>
              </w:rPr>
              <w:t>Paid-in</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6"/>
              </w:rPr>
              <w:t>Comprehensive</w:t>
            </w:r>
          </w:p>
        </w:tc>
        <w:tc>
          <w:tcPr>
            <w:tcW w:w="120" w:type="dxa"/>
            <w:vAlign w:val="bottom"/>
          </w:tcPr>
          <w:p>
            <w:pPr>
              <w:spacing w:after="0"/>
              <w:rPr>
                <w:sz w:val="12"/>
                <w:szCs w:val="12"/>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w w:val="90"/>
              </w:rPr>
              <w:t>Accumulated</w:t>
            </w:r>
          </w:p>
        </w:tc>
        <w:tc>
          <w:tcPr>
            <w:tcW w:w="140" w:type="dxa"/>
            <w:vAlign w:val="bottom"/>
          </w:tcPr>
          <w:p>
            <w:pPr>
              <w:spacing w:after="0"/>
              <w:rPr>
                <w:sz w:val="12"/>
                <w:szCs w:val="12"/>
                <w:color w:val="auto"/>
              </w:rPr>
            </w:pPr>
          </w:p>
        </w:tc>
        <w:tc>
          <w:tcPr>
            <w:tcW w:w="860" w:type="dxa"/>
            <w:vAlign w:val="bottom"/>
          </w:tcPr>
          <w:p>
            <w:pPr>
              <w:jc w:val="center"/>
              <w:ind w:right="50"/>
              <w:spacing w:after="0"/>
              <w:rPr>
                <w:sz w:val="20"/>
                <w:szCs w:val="20"/>
                <w:color w:val="auto"/>
              </w:rPr>
            </w:pPr>
            <w:r>
              <w:rPr>
                <w:rFonts w:ascii="Arial" w:cs="Arial" w:eastAsia="Arial" w:hAnsi="Arial"/>
                <w:sz w:val="12"/>
                <w:szCs w:val="12"/>
                <w:b w:val="1"/>
                <w:bCs w:val="1"/>
                <w:color w:val="auto"/>
                <w:w w:val="90"/>
              </w:rPr>
              <w:t>Controlling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1020" w:type="dxa"/>
            <w:vAlign w:val="bottom"/>
          </w:tcPr>
          <w:p>
            <w:pPr>
              <w:jc w:val="right"/>
              <w:ind w:right="27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290"/>
              <w:spacing w:after="0"/>
              <w:rPr>
                <w:sz w:val="20"/>
                <w:szCs w:val="20"/>
                <w:color w:val="auto"/>
              </w:rPr>
            </w:pPr>
            <w:r>
              <w:rPr>
                <w:rFonts w:ascii="Arial" w:cs="Arial" w:eastAsia="Arial" w:hAnsi="Arial"/>
                <w:sz w:val="12"/>
                <w:szCs w:val="12"/>
                <w:b w:val="1"/>
                <w:bCs w:val="1"/>
                <w:color w:val="auto"/>
              </w:rPr>
              <w:t>Capital</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5"/>
              </w:rPr>
              <w:t>Income (Loss)</w:t>
            </w:r>
          </w:p>
        </w:tc>
        <w:tc>
          <w:tcPr>
            <w:tcW w:w="120" w:type="dxa"/>
            <w:vAlign w:val="bottom"/>
          </w:tcPr>
          <w:p>
            <w:pPr>
              <w:spacing w:after="0"/>
              <w:rPr>
                <w:sz w:val="13"/>
                <w:szCs w:val="13"/>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3"/>
                <w:szCs w:val="13"/>
                <w:color w:val="auto"/>
              </w:rPr>
            </w:pPr>
          </w:p>
        </w:tc>
        <w:tc>
          <w:tcPr>
            <w:tcW w:w="860" w:type="dxa"/>
            <w:vAlign w:val="bottom"/>
          </w:tcPr>
          <w:p>
            <w:pPr>
              <w:jc w:val="center"/>
              <w:ind w:right="70"/>
              <w:spacing w:after="0"/>
              <w:rPr>
                <w:sz w:val="20"/>
                <w:szCs w:val="20"/>
                <w:color w:val="auto"/>
              </w:rPr>
            </w:pPr>
            <w:r>
              <w:rPr>
                <w:rFonts w:ascii="Arial" w:cs="Arial" w:eastAsia="Arial" w:hAnsi="Arial"/>
                <w:sz w:val="12"/>
                <w:szCs w:val="12"/>
                <w:b w:val="1"/>
                <w:bCs w:val="1"/>
                <w:color w:val="auto"/>
                <w:w w:val="87"/>
              </w:rPr>
              <w:t>Interests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6"/>
        </w:trPr>
        <w:tc>
          <w:tcPr>
            <w:tcW w:w="2040" w:type="dxa"/>
            <w:vAlign w:val="bottom"/>
            <w:shd w:val="clear" w:color="auto" w:fill="CFF0FC"/>
          </w:tcPr>
          <w:p>
            <w:pPr>
              <w:ind w:left="20"/>
              <w:spacing w:after="0" w:line="136" w:lineRule="exact"/>
              <w:rPr>
                <w:sz w:val="20"/>
                <w:szCs w:val="20"/>
                <w:color w:val="auto"/>
              </w:rPr>
            </w:pPr>
            <w:r>
              <w:rPr>
                <w:rFonts w:ascii="Arial" w:cs="Arial" w:eastAsia="Arial" w:hAnsi="Arial"/>
                <w:sz w:val="14"/>
                <w:szCs w:val="14"/>
                <w:b w:val="1"/>
                <w:bCs w:val="1"/>
                <w:color w:val="auto"/>
              </w:rPr>
              <w:t>Balance at March 31,</w:t>
            </w:r>
          </w:p>
        </w:tc>
        <w:tc>
          <w:tcPr>
            <w:tcW w:w="102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2022</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93,288,584</w:t>
            </w:r>
          </w:p>
        </w:tc>
        <w:tc>
          <w:tcPr>
            <w:tcW w:w="1100" w:type="dxa"/>
            <w:vAlign w:val="bottom"/>
            <w:gridSpan w:val="2"/>
            <w:shd w:val="clear" w:color="auto" w:fill="CFF0FC"/>
          </w:tcPr>
          <w:p>
            <w:pPr>
              <w:jc w:val="right"/>
              <w:ind w:right="675"/>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933</w:t>
            </w:r>
          </w:p>
        </w:tc>
        <w:tc>
          <w:tcPr>
            <w:tcW w:w="4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1,490,859</w:t>
            </w:r>
          </w:p>
        </w:tc>
        <w:tc>
          <w:tcPr>
            <w:tcW w:w="4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(6,505 )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(1,327,239 )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19,967</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178,015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(72,624 )</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(72,624 )</w:t>
            </w:r>
          </w:p>
        </w:tc>
        <w:tc>
          <w:tcPr>
            <w:tcW w:w="0" w:type="dxa"/>
            <w:vAlign w:val="bottom"/>
          </w:tcPr>
          <w:p>
            <w:pPr>
              <w:spacing w:after="0"/>
              <w:rPr>
                <w:sz w:val="1"/>
                <w:szCs w:val="1"/>
                <w:color w:val="auto"/>
              </w:rPr>
            </w:pPr>
          </w:p>
        </w:tc>
      </w:tr>
      <w:tr>
        <w:trPr>
          <w:trHeight w:val="143"/>
        </w:trPr>
        <w:tc>
          <w:tcPr>
            <w:tcW w:w="20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Change in unrealized gain</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or loss on investments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(584 )</w:t>
            </w: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(584 )</w:t>
            </w:r>
          </w:p>
        </w:tc>
        <w:tc>
          <w:tcPr>
            <w:tcW w:w="0" w:type="dxa"/>
            <w:vAlign w:val="bottom"/>
          </w:tcPr>
          <w:p>
            <w:pPr>
              <w:spacing w:after="0"/>
              <w:rPr>
                <w:sz w:val="1"/>
                <w:szCs w:val="1"/>
                <w:color w:val="auto"/>
              </w:rPr>
            </w:pPr>
          </w:p>
        </w:tc>
      </w:tr>
      <w:tr>
        <w:trPr>
          <w:trHeight w:val="143"/>
        </w:trPr>
        <w:tc>
          <w:tcPr>
            <w:tcW w:w="2040" w:type="dxa"/>
            <w:vAlign w:val="bottom"/>
          </w:tcPr>
          <w:p>
            <w:pPr>
              <w:ind w:left="20"/>
              <w:spacing w:after="0" w:line="143" w:lineRule="exact"/>
              <w:rPr>
                <w:sz w:val="20"/>
                <w:szCs w:val="20"/>
                <w:color w:val="auto"/>
              </w:rPr>
            </w:pPr>
            <w:r>
              <w:rPr>
                <w:rFonts w:ascii="Arial" w:cs="Arial" w:eastAsia="Arial" w:hAnsi="Arial"/>
                <w:sz w:val="14"/>
                <w:szCs w:val="14"/>
                <w:color w:val="auto"/>
              </w:rPr>
              <w:t>Foreign currency</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40" w:type="dxa"/>
            <w:vAlign w:val="bottom"/>
          </w:tcPr>
          <w:p>
            <w:pPr>
              <w:ind w:left="120"/>
              <w:spacing w:after="0"/>
              <w:rPr>
                <w:sz w:val="20"/>
                <w:szCs w:val="20"/>
                <w:color w:val="auto"/>
              </w:rPr>
            </w:pPr>
            <w:r>
              <w:rPr>
                <w:rFonts w:ascii="Arial" w:cs="Arial" w:eastAsia="Arial" w:hAnsi="Arial"/>
                <w:sz w:val="14"/>
                <w:szCs w:val="14"/>
                <w:color w:val="auto"/>
              </w:rPr>
              <w:t>translation adjustments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taxes 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444,450</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2,119</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16,658</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rPr>
              <w:t>Balance at June 30,</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93,733,034</w:t>
            </w:r>
          </w:p>
        </w:tc>
        <w:tc>
          <w:tcPr>
            <w:tcW w:w="1100" w:type="dxa"/>
            <w:vAlign w:val="bottom"/>
            <w:gridSpan w:val="2"/>
            <w:vMerge w:val="restart"/>
            <w:shd w:val="clear" w:color="auto" w:fill="CFF0FC"/>
          </w:tcPr>
          <w:p>
            <w:pPr>
              <w:jc w:val="right"/>
              <w:ind w:right="675"/>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937</w:t>
            </w:r>
          </w:p>
        </w:tc>
        <w:tc>
          <w:tcPr>
            <w:tcW w:w="460" w:type="dxa"/>
            <w:vAlign w:val="bottom"/>
            <w:gridSpan w:val="2"/>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1,509,636</w:t>
            </w:r>
          </w:p>
        </w:tc>
        <w:tc>
          <w:tcPr>
            <w:tcW w:w="44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(6,930 )</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(1,399,863 )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19,967</w:t>
            </w:r>
          </w:p>
        </w:tc>
        <w:tc>
          <w:tcPr>
            <w:tcW w:w="5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123,747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40" w:type="dxa"/>
            <w:vAlign w:val="bottom"/>
            <w:shd w:val="clear" w:color="auto" w:fill="CFF0FC"/>
          </w:tcPr>
          <w:p>
            <w:pPr>
              <w:ind w:left="120"/>
              <w:spacing w:after="0" w:line="125" w:lineRule="exact"/>
              <w:rPr>
                <w:sz w:val="20"/>
                <w:szCs w:val="20"/>
                <w:color w:val="auto"/>
              </w:rPr>
            </w:pPr>
            <w:r>
              <w:rPr>
                <w:rFonts w:ascii="Arial" w:cs="Arial" w:eastAsia="Arial" w:hAnsi="Arial"/>
                <w:sz w:val="14"/>
                <w:szCs w:val="14"/>
                <w:b w:val="1"/>
                <w:bCs w:val="1"/>
                <w:color w:val="auto"/>
              </w:rPr>
              <w:t>2022</w:t>
            </w:r>
          </w:p>
        </w:tc>
        <w:tc>
          <w:tcPr>
            <w:tcW w:w="1020" w:type="dxa"/>
            <w:vAlign w:val="bottom"/>
            <w:vMerge w:val="continue"/>
            <w:shd w:val="clear" w:color="auto" w:fill="CFF0FC"/>
          </w:tcPr>
          <w:p>
            <w:pPr>
              <w:spacing w:after="0"/>
              <w:rPr>
                <w:sz w:val="16"/>
                <w:szCs w:val="16"/>
                <w:color w:val="auto"/>
              </w:rPr>
            </w:pPr>
          </w:p>
        </w:tc>
        <w:tc>
          <w:tcPr>
            <w:tcW w:w="1100" w:type="dxa"/>
            <w:vAlign w:val="bottom"/>
            <w:gridSpan w:val="2"/>
            <w:vMerge w:val="continue"/>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460" w:type="dxa"/>
            <w:vAlign w:val="bottom"/>
            <w:gridSpan w:val="2"/>
            <w:vMerge w:val="continue"/>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440" w:type="dxa"/>
            <w:vAlign w:val="bottom"/>
            <w:gridSpan w:val="2"/>
            <w:vMerge w:val="continue"/>
            <w:shd w:val="clear" w:color="auto" w:fill="CFF0FC"/>
          </w:tcPr>
          <w:p>
            <w:pPr>
              <w:spacing w:after="0"/>
              <w:rPr>
                <w:sz w:val="16"/>
                <w:szCs w:val="16"/>
                <w:color w:val="auto"/>
              </w:rPr>
            </w:pPr>
          </w:p>
        </w:tc>
        <w:tc>
          <w:tcPr>
            <w:tcW w:w="1340" w:type="dxa"/>
            <w:vAlign w:val="bottom"/>
            <w:gridSpan w:val="2"/>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500" w:type="dxa"/>
            <w:vAlign w:val="bottom"/>
            <w:gridSpan w:val="2"/>
            <w:vMerge w:val="continue"/>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40" w:type="dxa"/>
            <w:vAlign w:val="bottom"/>
            <w:tcBorders>
              <w:top w:val="single" w:sz="8" w:color="CFF0FC"/>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40" w:type="dxa"/>
            <w:vAlign w:val="bottom"/>
            <w:shd w:val="clear" w:color="auto" w:fill="CFF0FC"/>
          </w:tcPr>
          <w:p>
            <w:pPr>
              <w:ind w:left="20"/>
              <w:spacing w:after="0" w:line="139" w:lineRule="exact"/>
              <w:rPr>
                <w:sz w:val="20"/>
                <w:szCs w:val="20"/>
                <w:color w:val="auto"/>
              </w:rPr>
            </w:pPr>
            <w:r>
              <w:rPr>
                <w:rFonts w:ascii="Arial" w:cs="Arial" w:eastAsia="Arial" w:hAnsi="Arial"/>
                <w:sz w:val="14"/>
                <w:szCs w:val="14"/>
                <w:b w:val="1"/>
                <w:bCs w:val="1"/>
                <w:color w:val="auto"/>
              </w:rPr>
              <w:t>Balance at March 31,</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2021</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92,080,399</w:t>
            </w:r>
          </w:p>
        </w:tc>
        <w:tc>
          <w:tcPr>
            <w:tcW w:w="1100" w:type="dxa"/>
            <w:vAlign w:val="bottom"/>
            <w:gridSpan w:val="2"/>
            <w:shd w:val="clear" w:color="auto" w:fill="CFF0FC"/>
          </w:tcPr>
          <w:p>
            <w:pPr>
              <w:jc w:val="right"/>
              <w:ind w:right="675"/>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921</w:t>
            </w:r>
          </w:p>
        </w:tc>
        <w:tc>
          <w:tcPr>
            <w:tcW w:w="4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1,420,471</w:t>
            </w:r>
          </w:p>
        </w:tc>
        <w:tc>
          <w:tcPr>
            <w:tcW w:w="4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(4,624 )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(1,045,766 )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390,273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(133,988 )</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(133,988 )</w:t>
            </w:r>
          </w:p>
        </w:tc>
        <w:tc>
          <w:tcPr>
            <w:tcW w:w="0" w:type="dxa"/>
            <w:vAlign w:val="bottom"/>
          </w:tcPr>
          <w:p>
            <w:pPr>
              <w:spacing w:after="0"/>
              <w:rPr>
                <w:sz w:val="1"/>
                <w:szCs w:val="1"/>
                <w:color w:val="auto"/>
              </w:rPr>
            </w:pPr>
          </w:p>
        </w:tc>
      </w:tr>
      <w:tr>
        <w:trPr>
          <w:trHeight w:val="143"/>
        </w:trPr>
        <w:tc>
          <w:tcPr>
            <w:tcW w:w="20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Change in unrealized gain</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or loss on investments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40" w:type="dxa"/>
            <w:vAlign w:val="bottom"/>
          </w:tcPr>
          <w:p>
            <w:pPr>
              <w:ind w:left="20"/>
              <w:spacing w:after="0" w:line="143" w:lineRule="exact"/>
              <w:rPr>
                <w:sz w:val="20"/>
                <w:szCs w:val="20"/>
                <w:color w:val="auto"/>
              </w:rPr>
            </w:pPr>
            <w:r>
              <w:rPr>
                <w:rFonts w:ascii="Arial" w:cs="Arial" w:eastAsia="Arial" w:hAnsi="Arial"/>
                <w:sz w:val="14"/>
                <w:szCs w:val="14"/>
                <w:color w:val="auto"/>
              </w:rPr>
              <w:t>Foreign currency</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40" w:type="dxa"/>
            <w:vAlign w:val="bottom"/>
          </w:tcPr>
          <w:p>
            <w:pPr>
              <w:ind w:left="120"/>
              <w:spacing w:after="0"/>
              <w:rPr>
                <w:sz w:val="20"/>
                <w:szCs w:val="20"/>
                <w:color w:val="auto"/>
              </w:rPr>
            </w:pPr>
            <w:r>
              <w:rPr>
                <w:rFonts w:ascii="Arial" w:cs="Arial" w:eastAsia="Arial" w:hAnsi="Arial"/>
                <w:sz w:val="14"/>
                <w:szCs w:val="14"/>
                <w:color w:val="auto"/>
              </w:rPr>
              <w:t>translation adjustments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taxes 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528,530</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4,503</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19,001</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rPr>
              <w:t>Balance at June 30,</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92,608,929</w:t>
            </w:r>
          </w:p>
        </w:tc>
        <w:tc>
          <w:tcPr>
            <w:tcW w:w="260" w:type="dxa"/>
            <w:vAlign w:val="bottom"/>
            <w:vMerge w:val="restart"/>
            <w:shd w:val="clear" w:color="auto" w:fill="CFF0FC"/>
          </w:tcPr>
          <w:p>
            <w:pPr>
              <w:spacing w:after="0"/>
              <w:rPr>
                <w:sz w:val="11"/>
                <w:szCs w:val="11"/>
                <w:color w:val="auto"/>
              </w:rPr>
            </w:pPr>
          </w:p>
        </w:tc>
        <w:tc>
          <w:tcPr>
            <w:tcW w:w="840" w:type="dxa"/>
            <w:vAlign w:val="bottom"/>
            <w:vMerge w:val="restart"/>
            <w:shd w:val="clear" w:color="auto" w:fill="CFF0FC"/>
          </w:tcPr>
          <w:p>
            <w:pPr>
              <w:jc w:val="right"/>
              <w:ind w:right="675"/>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926</w:t>
            </w:r>
          </w:p>
        </w:tc>
        <w:tc>
          <w:tcPr>
            <w:tcW w:w="28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1,443,975</w:t>
            </w:r>
          </w:p>
        </w:tc>
        <w:tc>
          <w:tcPr>
            <w:tcW w:w="280" w:type="dxa"/>
            <w:vAlign w:val="bottom"/>
            <w:vMerge w:val="restart"/>
            <w:shd w:val="clear" w:color="auto" w:fill="CFF0FC"/>
          </w:tcPr>
          <w:p>
            <w:pPr>
              <w:spacing w:after="0"/>
              <w:rPr>
                <w:sz w:val="11"/>
                <w:szCs w:val="11"/>
                <w:color w:val="auto"/>
              </w:rPr>
            </w:pPr>
          </w:p>
        </w:tc>
        <w:tc>
          <w:tcPr>
            <w:tcW w:w="1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(4,567 )</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(1,179,754 )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279,851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40" w:type="dxa"/>
            <w:vAlign w:val="bottom"/>
            <w:shd w:val="clear" w:color="auto" w:fill="CFF0FC"/>
          </w:tcPr>
          <w:p>
            <w:pPr>
              <w:ind w:left="120"/>
              <w:spacing w:after="0" w:line="125" w:lineRule="exact"/>
              <w:rPr>
                <w:sz w:val="20"/>
                <w:szCs w:val="20"/>
                <w:color w:val="auto"/>
              </w:rPr>
            </w:pPr>
            <w:r>
              <w:rPr>
                <w:rFonts w:ascii="Arial" w:cs="Arial" w:eastAsia="Arial" w:hAnsi="Arial"/>
                <w:sz w:val="14"/>
                <w:szCs w:val="14"/>
                <w:b w:val="1"/>
                <w:bCs w:val="1"/>
                <w:color w:val="auto"/>
              </w:rPr>
              <w:t>2021</w:t>
            </w:r>
          </w:p>
        </w:tc>
        <w:tc>
          <w:tcPr>
            <w:tcW w:w="1020" w:type="dxa"/>
            <w:vAlign w:val="bottom"/>
            <w:vMerge w:val="continue"/>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134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500" w:type="dxa"/>
            <w:vAlign w:val="bottom"/>
            <w:gridSpan w:val="2"/>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-1508125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-1490980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-1508125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-1490980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-1508125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-1490980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-1508125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-1490980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-1508125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-1490980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-1508125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-1490980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-24765</wp:posOffset>
            </wp:positionV>
            <wp:extent cx="76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-7620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-24765</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-24765</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For The Six Month Period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04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gridSpan w:val="2"/>
          </w:tcPr>
          <w:p>
            <w:pPr>
              <w:jc w:val="center"/>
              <w:ind w:right="400"/>
              <w:spacing w:after="0" w:line="107" w:lineRule="exact"/>
              <w:rPr>
                <w:sz w:val="20"/>
                <w:szCs w:val="20"/>
                <w:color w:val="auto"/>
              </w:rPr>
            </w:pPr>
            <w:r>
              <w:rPr>
                <w:rFonts w:ascii="Arial" w:cs="Arial" w:eastAsia="Arial" w:hAnsi="Arial"/>
                <w:sz w:val="12"/>
                <w:szCs w:val="12"/>
                <w:b w:val="1"/>
                <w:bCs w:val="1"/>
                <w:color w:val="auto"/>
                <w:w w:val="87"/>
              </w:rPr>
              <w:t>Accumulated</w:t>
            </w: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2120" w:type="dxa"/>
            <w:vAlign w:val="bottom"/>
            <w:gridSpan w:val="3"/>
            <w:vMerge w:val="restart"/>
          </w:tcPr>
          <w:p>
            <w:pPr>
              <w:jc w:val="right"/>
              <w:ind w:right="455"/>
              <w:spacing w:after="0"/>
              <w:rPr>
                <w:sz w:val="20"/>
                <w:szCs w:val="20"/>
                <w:color w:val="auto"/>
              </w:rPr>
            </w:pPr>
            <w:r>
              <w:rPr>
                <w:rFonts w:ascii="Arial" w:cs="Arial" w:eastAsia="Arial" w:hAnsi="Arial"/>
                <w:sz w:val="12"/>
                <w:szCs w:val="12"/>
                <w:b w:val="1"/>
                <w:bCs w:val="1"/>
                <w:color w:val="auto"/>
              </w:rPr>
              <w:t>Common Stock</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jc w:val="right"/>
              <w:ind w:right="580"/>
              <w:spacing w:after="0" w:line="122" w:lineRule="exact"/>
              <w:rPr>
                <w:sz w:val="20"/>
                <w:szCs w:val="20"/>
                <w:color w:val="auto"/>
              </w:rPr>
            </w:pPr>
            <w:r>
              <w:rPr>
                <w:rFonts w:ascii="Arial" w:cs="Arial" w:eastAsia="Arial" w:hAnsi="Arial"/>
                <w:sz w:val="12"/>
                <w:szCs w:val="12"/>
                <w:b w:val="1"/>
                <w:bCs w:val="1"/>
                <w:color w:val="auto"/>
              </w:rPr>
              <w:t>Additional</w:t>
            </w:r>
          </w:p>
        </w:tc>
        <w:tc>
          <w:tcPr>
            <w:tcW w:w="160" w:type="dxa"/>
            <w:vAlign w:val="bottom"/>
          </w:tcPr>
          <w:p>
            <w:pPr>
              <w:spacing w:after="0"/>
              <w:rPr>
                <w:sz w:val="10"/>
                <w:szCs w:val="10"/>
                <w:color w:val="auto"/>
              </w:rPr>
            </w:pPr>
          </w:p>
        </w:tc>
        <w:tc>
          <w:tcPr>
            <w:tcW w:w="1340" w:type="dxa"/>
            <w:vAlign w:val="bottom"/>
            <w:gridSpan w:val="2"/>
          </w:tcPr>
          <w:p>
            <w:pPr>
              <w:jc w:val="center"/>
              <w:ind w:right="400"/>
              <w:spacing w:after="0" w:line="122"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70"/>
              <w:spacing w:after="0" w:line="122" w:lineRule="exact"/>
              <w:rPr>
                <w:sz w:val="20"/>
                <w:szCs w:val="20"/>
                <w:color w:val="auto"/>
              </w:rPr>
            </w:pPr>
            <w:r>
              <w:rPr>
                <w:rFonts w:ascii="Arial" w:cs="Arial" w:eastAsia="Arial" w:hAnsi="Arial"/>
                <w:sz w:val="12"/>
                <w:szCs w:val="12"/>
                <w:b w:val="1"/>
                <w:bCs w:val="1"/>
                <w:color w:val="auto"/>
                <w:w w:val="85"/>
              </w:rPr>
              <w:t>Non</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40" w:type="dxa"/>
            <w:vAlign w:val="bottom"/>
          </w:tcPr>
          <w:p>
            <w:pPr>
              <w:spacing w:after="0"/>
              <w:rPr>
                <w:sz w:val="12"/>
                <w:szCs w:val="12"/>
                <w:color w:val="auto"/>
              </w:rPr>
            </w:pPr>
          </w:p>
        </w:tc>
        <w:tc>
          <w:tcPr>
            <w:tcW w:w="2120" w:type="dxa"/>
            <w:vAlign w:val="bottom"/>
            <w:tcBorders>
              <w:bottom w:val="single" w:sz="8" w:color="auto"/>
            </w:tcBorders>
            <w:gridSpan w:val="3"/>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Paid-in</w:t>
            </w:r>
          </w:p>
        </w:tc>
        <w:tc>
          <w:tcPr>
            <w:tcW w:w="160" w:type="dxa"/>
            <w:vAlign w:val="bottom"/>
          </w:tcPr>
          <w:p>
            <w:pPr>
              <w:spacing w:after="0"/>
              <w:rPr>
                <w:sz w:val="12"/>
                <w:szCs w:val="12"/>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6"/>
              </w:rPr>
              <w:t>Comprehensive</w:t>
            </w:r>
          </w:p>
        </w:tc>
        <w:tc>
          <w:tcPr>
            <w:tcW w:w="120" w:type="dxa"/>
            <w:vAlign w:val="bottom"/>
          </w:tcPr>
          <w:p>
            <w:pPr>
              <w:spacing w:after="0"/>
              <w:rPr>
                <w:sz w:val="12"/>
                <w:szCs w:val="12"/>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w w:val="90"/>
              </w:rPr>
              <w:t>Accumulated</w:t>
            </w:r>
          </w:p>
        </w:tc>
        <w:tc>
          <w:tcPr>
            <w:tcW w:w="140" w:type="dxa"/>
            <w:vAlign w:val="bottom"/>
          </w:tcPr>
          <w:p>
            <w:pPr>
              <w:spacing w:after="0"/>
              <w:rPr>
                <w:sz w:val="12"/>
                <w:szCs w:val="12"/>
                <w:color w:val="auto"/>
              </w:rPr>
            </w:pPr>
          </w:p>
        </w:tc>
        <w:tc>
          <w:tcPr>
            <w:tcW w:w="860" w:type="dxa"/>
            <w:vAlign w:val="bottom"/>
          </w:tcPr>
          <w:p>
            <w:pPr>
              <w:jc w:val="center"/>
              <w:ind w:right="50"/>
              <w:spacing w:after="0"/>
              <w:rPr>
                <w:sz w:val="20"/>
                <w:szCs w:val="20"/>
                <w:color w:val="auto"/>
              </w:rPr>
            </w:pPr>
            <w:r>
              <w:rPr>
                <w:rFonts w:ascii="Arial" w:cs="Arial" w:eastAsia="Arial" w:hAnsi="Arial"/>
                <w:sz w:val="12"/>
                <w:szCs w:val="12"/>
                <w:b w:val="1"/>
                <w:bCs w:val="1"/>
                <w:color w:val="auto"/>
                <w:w w:val="90"/>
              </w:rPr>
              <w:t>Controlling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1020" w:type="dxa"/>
            <w:vAlign w:val="bottom"/>
          </w:tcPr>
          <w:p>
            <w:pPr>
              <w:jc w:val="right"/>
              <w:ind w:right="27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Capital</w:t>
            </w:r>
          </w:p>
        </w:tc>
        <w:tc>
          <w:tcPr>
            <w:tcW w:w="160" w:type="dxa"/>
            <w:vAlign w:val="bottom"/>
          </w:tcPr>
          <w:p>
            <w:pPr>
              <w:spacing w:after="0"/>
              <w:rPr>
                <w:sz w:val="13"/>
                <w:szCs w:val="13"/>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78"/>
              </w:rPr>
              <w:t>Loss</w:t>
            </w:r>
          </w:p>
        </w:tc>
        <w:tc>
          <w:tcPr>
            <w:tcW w:w="120" w:type="dxa"/>
            <w:vAlign w:val="bottom"/>
          </w:tcPr>
          <w:p>
            <w:pPr>
              <w:spacing w:after="0"/>
              <w:rPr>
                <w:sz w:val="13"/>
                <w:szCs w:val="13"/>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3"/>
                <w:szCs w:val="13"/>
                <w:color w:val="auto"/>
              </w:rPr>
            </w:pPr>
          </w:p>
        </w:tc>
        <w:tc>
          <w:tcPr>
            <w:tcW w:w="860" w:type="dxa"/>
            <w:vAlign w:val="bottom"/>
          </w:tcPr>
          <w:p>
            <w:pPr>
              <w:jc w:val="center"/>
              <w:ind w:right="70"/>
              <w:spacing w:after="0"/>
              <w:rPr>
                <w:sz w:val="20"/>
                <w:szCs w:val="20"/>
                <w:color w:val="auto"/>
              </w:rPr>
            </w:pPr>
            <w:r>
              <w:rPr>
                <w:rFonts w:ascii="Arial" w:cs="Arial" w:eastAsia="Arial" w:hAnsi="Arial"/>
                <w:sz w:val="12"/>
                <w:szCs w:val="12"/>
                <w:b w:val="1"/>
                <w:bCs w:val="1"/>
                <w:color w:val="auto"/>
                <w:w w:val="87"/>
              </w:rPr>
              <w:t>Interests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6"/>
        </w:trPr>
        <w:tc>
          <w:tcPr>
            <w:tcW w:w="2040" w:type="dxa"/>
            <w:vAlign w:val="bottom"/>
            <w:shd w:val="clear" w:color="auto" w:fill="CFF0FC"/>
          </w:tcPr>
          <w:p>
            <w:pPr>
              <w:ind w:left="20"/>
              <w:spacing w:after="0" w:line="136" w:lineRule="exact"/>
              <w:rPr>
                <w:sz w:val="20"/>
                <w:szCs w:val="20"/>
                <w:color w:val="auto"/>
              </w:rPr>
            </w:pPr>
            <w:r>
              <w:rPr>
                <w:rFonts w:ascii="Arial" w:cs="Arial" w:eastAsia="Arial" w:hAnsi="Arial"/>
                <w:sz w:val="14"/>
                <w:szCs w:val="14"/>
                <w:b w:val="1"/>
                <w:bCs w:val="1"/>
                <w:color w:val="auto"/>
              </w:rPr>
              <w:t>Balance at December 31,</w:t>
            </w:r>
          </w:p>
        </w:tc>
        <w:tc>
          <w:tcPr>
            <w:tcW w:w="102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2021</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92,880,533</w:t>
            </w:r>
          </w:p>
        </w:tc>
        <w:tc>
          <w:tcPr>
            <w:tcW w:w="1100" w:type="dxa"/>
            <w:vAlign w:val="bottom"/>
            <w:gridSpan w:val="2"/>
            <w:shd w:val="clear" w:color="auto" w:fill="CFF0FC"/>
          </w:tcPr>
          <w:p>
            <w:pPr>
              <w:jc w:val="right"/>
              <w:ind w:right="675"/>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929</w:t>
            </w:r>
          </w:p>
        </w:tc>
        <w:tc>
          <w:tcPr>
            <w:tcW w:w="4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1,476,414</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(4,163 )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(1,264,034 )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19,967</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229,113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(135,829 )</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(135,829 )</w:t>
            </w:r>
          </w:p>
        </w:tc>
        <w:tc>
          <w:tcPr>
            <w:tcW w:w="0" w:type="dxa"/>
            <w:vAlign w:val="bottom"/>
          </w:tcPr>
          <w:p>
            <w:pPr>
              <w:spacing w:after="0"/>
              <w:rPr>
                <w:sz w:val="1"/>
                <w:szCs w:val="1"/>
                <w:color w:val="auto"/>
              </w:rPr>
            </w:pPr>
          </w:p>
        </w:tc>
      </w:tr>
      <w:tr>
        <w:trPr>
          <w:trHeight w:val="143"/>
        </w:trPr>
        <w:tc>
          <w:tcPr>
            <w:tcW w:w="20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Change in unrealized gain</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or loss on investments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(3,175 )</w:t>
            </w: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(3,175 )</w:t>
            </w:r>
          </w:p>
        </w:tc>
        <w:tc>
          <w:tcPr>
            <w:tcW w:w="0" w:type="dxa"/>
            <w:vAlign w:val="bottom"/>
          </w:tcPr>
          <w:p>
            <w:pPr>
              <w:spacing w:after="0"/>
              <w:rPr>
                <w:sz w:val="1"/>
                <w:szCs w:val="1"/>
                <w:color w:val="auto"/>
              </w:rPr>
            </w:pPr>
          </w:p>
        </w:tc>
      </w:tr>
      <w:tr>
        <w:trPr>
          <w:trHeight w:val="143"/>
        </w:trPr>
        <w:tc>
          <w:tcPr>
            <w:tcW w:w="2040" w:type="dxa"/>
            <w:vAlign w:val="bottom"/>
          </w:tcPr>
          <w:p>
            <w:pPr>
              <w:ind w:left="20"/>
              <w:spacing w:after="0" w:line="143" w:lineRule="exact"/>
              <w:rPr>
                <w:sz w:val="20"/>
                <w:szCs w:val="20"/>
                <w:color w:val="auto"/>
              </w:rPr>
            </w:pPr>
            <w:r>
              <w:rPr>
                <w:rFonts w:ascii="Arial" w:cs="Arial" w:eastAsia="Arial" w:hAnsi="Arial"/>
                <w:sz w:val="14"/>
                <w:szCs w:val="14"/>
                <w:color w:val="auto"/>
              </w:rPr>
              <w:t>Foreign currency</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40" w:type="dxa"/>
            <w:vAlign w:val="bottom"/>
          </w:tcPr>
          <w:p>
            <w:pPr>
              <w:ind w:left="120"/>
              <w:spacing w:after="0"/>
              <w:rPr>
                <w:sz w:val="20"/>
                <w:szCs w:val="20"/>
                <w:color w:val="auto"/>
              </w:rPr>
            </w:pPr>
            <w:r>
              <w:rPr>
                <w:rFonts w:ascii="Arial" w:cs="Arial" w:eastAsia="Arial" w:hAnsi="Arial"/>
                <w:sz w:val="14"/>
                <w:szCs w:val="14"/>
                <w:color w:val="auto"/>
              </w:rPr>
              <w:t>translation adjustments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taxes 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852,501</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(588 )</w:t>
            </w: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(580 )</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33,810</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rPr>
              <w:t>Balance at June 30,</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93,733,034</w:t>
            </w:r>
          </w:p>
        </w:tc>
        <w:tc>
          <w:tcPr>
            <w:tcW w:w="1100" w:type="dxa"/>
            <w:vAlign w:val="bottom"/>
            <w:gridSpan w:val="2"/>
            <w:vMerge w:val="restart"/>
            <w:shd w:val="clear" w:color="auto" w:fill="CFF0FC"/>
          </w:tcPr>
          <w:p>
            <w:pPr>
              <w:jc w:val="right"/>
              <w:ind w:right="675"/>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937</w:t>
            </w:r>
          </w:p>
        </w:tc>
        <w:tc>
          <w:tcPr>
            <w:tcW w:w="460" w:type="dxa"/>
            <w:vAlign w:val="bottom"/>
            <w:gridSpan w:val="2"/>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1,509,636</w:t>
            </w:r>
          </w:p>
        </w:tc>
        <w:tc>
          <w:tcPr>
            <w:tcW w:w="28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(6,930 )</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(1,399,863 )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19,967</w:t>
            </w:r>
          </w:p>
        </w:tc>
        <w:tc>
          <w:tcPr>
            <w:tcW w:w="5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123,747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40" w:type="dxa"/>
            <w:vAlign w:val="bottom"/>
            <w:shd w:val="clear" w:color="auto" w:fill="CFF0FC"/>
          </w:tcPr>
          <w:p>
            <w:pPr>
              <w:ind w:left="120"/>
              <w:spacing w:after="0" w:line="125" w:lineRule="exact"/>
              <w:rPr>
                <w:sz w:val="20"/>
                <w:szCs w:val="20"/>
                <w:color w:val="auto"/>
              </w:rPr>
            </w:pPr>
            <w:r>
              <w:rPr>
                <w:rFonts w:ascii="Arial" w:cs="Arial" w:eastAsia="Arial" w:hAnsi="Arial"/>
                <w:sz w:val="14"/>
                <w:szCs w:val="14"/>
                <w:b w:val="1"/>
                <w:bCs w:val="1"/>
                <w:color w:val="auto"/>
              </w:rPr>
              <w:t>2022</w:t>
            </w:r>
          </w:p>
        </w:tc>
        <w:tc>
          <w:tcPr>
            <w:tcW w:w="1020" w:type="dxa"/>
            <w:vAlign w:val="bottom"/>
            <w:vMerge w:val="continue"/>
            <w:shd w:val="clear" w:color="auto" w:fill="CFF0FC"/>
          </w:tcPr>
          <w:p>
            <w:pPr>
              <w:spacing w:after="0"/>
              <w:rPr>
                <w:sz w:val="16"/>
                <w:szCs w:val="16"/>
                <w:color w:val="auto"/>
              </w:rPr>
            </w:pPr>
          </w:p>
        </w:tc>
        <w:tc>
          <w:tcPr>
            <w:tcW w:w="1100" w:type="dxa"/>
            <w:vAlign w:val="bottom"/>
            <w:gridSpan w:val="2"/>
            <w:vMerge w:val="continue"/>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460" w:type="dxa"/>
            <w:vAlign w:val="bottom"/>
            <w:gridSpan w:val="2"/>
            <w:vMerge w:val="continue"/>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1340" w:type="dxa"/>
            <w:vAlign w:val="bottom"/>
            <w:gridSpan w:val="2"/>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500" w:type="dxa"/>
            <w:vAlign w:val="bottom"/>
            <w:gridSpan w:val="2"/>
            <w:vMerge w:val="continue"/>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40" w:type="dxa"/>
            <w:vAlign w:val="bottom"/>
            <w:tcBorders>
              <w:top w:val="single" w:sz="8" w:color="CFF0FC"/>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40" w:type="dxa"/>
            <w:vAlign w:val="bottom"/>
            <w:shd w:val="clear" w:color="auto" w:fill="CFF0FC"/>
          </w:tcPr>
          <w:p>
            <w:pPr>
              <w:ind w:left="20"/>
              <w:spacing w:after="0" w:line="139" w:lineRule="exact"/>
              <w:rPr>
                <w:sz w:val="20"/>
                <w:szCs w:val="20"/>
                <w:color w:val="auto"/>
              </w:rPr>
            </w:pPr>
            <w:r>
              <w:rPr>
                <w:rFonts w:ascii="Arial" w:cs="Arial" w:eastAsia="Arial" w:hAnsi="Arial"/>
                <w:sz w:val="14"/>
                <w:szCs w:val="14"/>
                <w:b w:val="1"/>
                <w:bCs w:val="1"/>
                <w:color w:val="auto"/>
              </w:rPr>
              <w:t>Balance at December 31,</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2020</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91,440,633</w:t>
            </w:r>
          </w:p>
        </w:tc>
        <w:tc>
          <w:tcPr>
            <w:tcW w:w="1100" w:type="dxa"/>
            <w:vAlign w:val="bottom"/>
            <w:gridSpan w:val="2"/>
            <w:shd w:val="clear" w:color="auto" w:fill="CFF0FC"/>
          </w:tcPr>
          <w:p>
            <w:pPr>
              <w:jc w:val="right"/>
              <w:ind w:right="675"/>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914</w:t>
            </w:r>
          </w:p>
        </w:tc>
        <w:tc>
          <w:tcPr>
            <w:tcW w:w="4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1,399,774</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(4,499 )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(974,011 )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441,449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(205,743 )</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(205,743 )</w:t>
            </w:r>
          </w:p>
        </w:tc>
        <w:tc>
          <w:tcPr>
            <w:tcW w:w="0" w:type="dxa"/>
            <w:vAlign w:val="bottom"/>
          </w:tcPr>
          <w:p>
            <w:pPr>
              <w:spacing w:after="0"/>
              <w:rPr>
                <w:sz w:val="1"/>
                <w:szCs w:val="1"/>
                <w:color w:val="auto"/>
              </w:rPr>
            </w:pPr>
          </w:p>
        </w:tc>
      </w:tr>
      <w:tr>
        <w:trPr>
          <w:trHeight w:val="143"/>
        </w:trPr>
        <w:tc>
          <w:tcPr>
            <w:tcW w:w="20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Change in unrealized gain</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or loss on investments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(38 )</w:t>
            </w: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143"/>
        </w:trPr>
        <w:tc>
          <w:tcPr>
            <w:tcW w:w="2040" w:type="dxa"/>
            <w:vAlign w:val="bottom"/>
          </w:tcPr>
          <w:p>
            <w:pPr>
              <w:ind w:left="20"/>
              <w:spacing w:after="0" w:line="143" w:lineRule="exact"/>
              <w:rPr>
                <w:sz w:val="20"/>
                <w:szCs w:val="20"/>
                <w:color w:val="auto"/>
              </w:rPr>
            </w:pPr>
            <w:r>
              <w:rPr>
                <w:rFonts w:ascii="Arial" w:cs="Arial" w:eastAsia="Arial" w:hAnsi="Arial"/>
                <w:sz w:val="14"/>
                <w:szCs w:val="14"/>
                <w:color w:val="auto"/>
              </w:rPr>
              <w:t>Foreign currency</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40" w:type="dxa"/>
            <w:vAlign w:val="bottom"/>
          </w:tcPr>
          <w:p>
            <w:pPr>
              <w:ind w:left="120"/>
              <w:spacing w:after="0"/>
              <w:rPr>
                <w:sz w:val="20"/>
                <w:szCs w:val="20"/>
                <w:color w:val="auto"/>
              </w:rPr>
            </w:pPr>
            <w:r>
              <w:rPr>
                <w:rFonts w:ascii="Arial" w:cs="Arial" w:eastAsia="Arial" w:hAnsi="Arial"/>
                <w:sz w:val="14"/>
                <w:szCs w:val="14"/>
                <w:color w:val="auto"/>
              </w:rPr>
              <w:t>translation adjustments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(30 )</w:t>
            </w:r>
          </w:p>
        </w:tc>
        <w:tc>
          <w:tcPr>
            <w:tcW w:w="12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(30 )</w:t>
            </w:r>
          </w:p>
        </w:tc>
        <w:tc>
          <w:tcPr>
            <w:tcW w:w="0" w:type="dxa"/>
            <w:vAlign w:val="bottom"/>
          </w:tcPr>
          <w:p>
            <w:pPr>
              <w:spacing w:after="0"/>
              <w:rPr>
                <w:sz w:val="1"/>
                <w:szCs w:val="1"/>
                <w:color w:val="auto"/>
              </w:rPr>
            </w:pPr>
          </w:p>
        </w:tc>
      </w:tr>
      <w:tr>
        <w:trPr>
          <w:trHeight w:val="143"/>
        </w:trPr>
        <w:tc>
          <w:tcPr>
            <w:tcW w:w="20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taxes 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1,168,296</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5,816</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38,385</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rPr>
              <w:t>Balance at June 30,</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92,608,929</w:t>
            </w:r>
          </w:p>
        </w:tc>
        <w:tc>
          <w:tcPr>
            <w:tcW w:w="260" w:type="dxa"/>
            <w:vAlign w:val="bottom"/>
            <w:vMerge w:val="restart"/>
            <w:shd w:val="clear" w:color="auto" w:fill="CFF0FC"/>
          </w:tcPr>
          <w:p>
            <w:pPr>
              <w:spacing w:after="0"/>
              <w:rPr>
                <w:sz w:val="11"/>
                <w:szCs w:val="11"/>
                <w:color w:val="auto"/>
              </w:rPr>
            </w:pPr>
          </w:p>
        </w:tc>
        <w:tc>
          <w:tcPr>
            <w:tcW w:w="840" w:type="dxa"/>
            <w:vAlign w:val="bottom"/>
            <w:vMerge w:val="restart"/>
            <w:shd w:val="clear" w:color="auto" w:fill="CFF0FC"/>
          </w:tcPr>
          <w:p>
            <w:pPr>
              <w:jc w:val="right"/>
              <w:ind w:right="675"/>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926</w:t>
            </w:r>
          </w:p>
        </w:tc>
        <w:tc>
          <w:tcPr>
            <w:tcW w:w="28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1,443,975</w:t>
            </w:r>
          </w:p>
        </w:tc>
        <w:tc>
          <w:tcPr>
            <w:tcW w:w="28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(4,567 )</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(1,179,754 )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279,851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40" w:type="dxa"/>
            <w:vAlign w:val="bottom"/>
            <w:shd w:val="clear" w:color="auto" w:fill="CFF0FC"/>
          </w:tcPr>
          <w:p>
            <w:pPr>
              <w:ind w:left="120"/>
              <w:spacing w:after="0" w:line="125" w:lineRule="exact"/>
              <w:rPr>
                <w:sz w:val="20"/>
                <w:szCs w:val="20"/>
                <w:color w:val="auto"/>
              </w:rPr>
            </w:pPr>
            <w:r>
              <w:rPr>
                <w:rFonts w:ascii="Arial" w:cs="Arial" w:eastAsia="Arial" w:hAnsi="Arial"/>
                <w:sz w:val="14"/>
                <w:szCs w:val="14"/>
                <w:b w:val="1"/>
                <w:bCs w:val="1"/>
                <w:color w:val="auto"/>
              </w:rPr>
              <w:t>2021</w:t>
            </w:r>
          </w:p>
        </w:tc>
        <w:tc>
          <w:tcPr>
            <w:tcW w:w="1020" w:type="dxa"/>
            <w:vAlign w:val="bottom"/>
            <w:vMerge w:val="continue"/>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134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500" w:type="dxa"/>
            <w:vAlign w:val="bottom"/>
            <w:gridSpan w:val="2"/>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-1508125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-1490980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-1508125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-1490980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-1508125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-1490980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-1508125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-1490980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-1508125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-1490980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-1508125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-1490980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-25400</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-8255</wp:posOffset>
            </wp:positionV>
            <wp:extent cx="768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-25400</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-8255</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-25400</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-8255</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-25400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3"/>
                <w:szCs w:val="13"/>
                <w:b w:val="1"/>
                <w:bCs w:val="1"/>
                <w:color w:val="auto"/>
                <w:w w:val="92"/>
              </w:rPr>
              <w:t>Six Months Ended June 30,</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3"/>
        </w:trPr>
        <w:tc>
          <w:tcPr>
            <w:tcW w:w="7260" w:type="dxa"/>
            <w:vAlign w:val="bottom"/>
          </w:tcPr>
          <w:p>
            <w:pPr>
              <w:spacing w:after="0"/>
              <w:rPr>
                <w:sz w:val="12"/>
                <w:szCs w:val="12"/>
                <w:color w:val="auto"/>
              </w:rPr>
            </w:pPr>
          </w:p>
        </w:tc>
        <w:tc>
          <w:tcPr>
            <w:tcW w:w="1100" w:type="dxa"/>
            <w:vAlign w:val="bottom"/>
            <w:tcBorders>
              <w:bottom w:val="single" w:sz="8" w:color="auto"/>
            </w:tcBorders>
          </w:tcPr>
          <w:p>
            <w:pPr>
              <w:jc w:val="right"/>
              <w:ind w:right="11"/>
              <w:spacing w:after="0" w:line="143" w:lineRule="exact"/>
              <w:rPr>
                <w:sz w:val="20"/>
                <w:szCs w:val="20"/>
                <w:color w:val="auto"/>
              </w:rPr>
            </w:pPr>
            <w:r>
              <w:rPr>
                <w:rFonts w:ascii="Arial" w:cs="Arial" w:eastAsia="Arial" w:hAnsi="Arial"/>
                <w:sz w:val="13"/>
                <w:szCs w:val="13"/>
                <w:b w:val="1"/>
                <w:bCs w:val="1"/>
                <w:color w:val="auto"/>
              </w:rPr>
              <w:t>2022</w:t>
            </w:r>
          </w:p>
        </w:tc>
        <w:tc>
          <w:tcPr>
            <w:tcW w:w="6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08"/>
              <w:spacing w:after="0" w:line="143"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2"/>
                <w:szCs w:val="12"/>
                <w:color w:val="auto"/>
              </w:rPr>
            </w:pPr>
          </w:p>
        </w:tc>
      </w:tr>
      <w:tr>
        <w:trPr>
          <w:trHeight w:val="169"/>
        </w:trPr>
        <w:tc>
          <w:tcPr>
            <w:tcW w:w="72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2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tcPr>
          <w:p>
            <w:pPr>
              <w:jc w:val="right"/>
              <w:ind w:right="951"/>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(135,829 )</w:t>
            </w:r>
          </w:p>
        </w:tc>
        <w:tc>
          <w:tcPr>
            <w:tcW w:w="680" w:type="dxa"/>
            <w:vAlign w:val="bottom"/>
          </w:tcPr>
          <w:p>
            <w:pPr>
              <w:jc w:val="right"/>
              <w:ind w:right="52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(205,743 )</w:t>
            </w:r>
          </w:p>
        </w:tc>
      </w:tr>
      <w:tr>
        <w:trPr>
          <w:trHeight w:val="176"/>
        </w:trPr>
        <w:tc>
          <w:tcPr>
            <w:tcW w:w="7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260" w:type="dxa"/>
            <w:vAlign w:val="bottom"/>
          </w:tcPr>
          <w:p>
            <w:pPr>
              <w:ind w:left="200"/>
              <w:spacing w:after="0"/>
              <w:rPr>
                <w:sz w:val="20"/>
                <w:szCs w:val="20"/>
                <w:color w:val="auto"/>
              </w:rPr>
            </w:pPr>
            <w:r>
              <w:rPr>
                <w:rFonts w:ascii="Arial" w:cs="Arial" w:eastAsia="Arial" w:hAnsi="Arial"/>
                <w:sz w:val="14"/>
                <w:szCs w:val="14"/>
                <w:color w:val="auto"/>
              </w:rPr>
              <w:t>Depreciation</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4,966</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5,242</w:t>
            </w:r>
          </w:p>
        </w:tc>
        <w:tc>
          <w:tcPr>
            <w:tcW w:w="100" w:type="dxa"/>
            <w:vAlign w:val="bottom"/>
          </w:tcPr>
          <w:p>
            <w:pPr>
              <w:spacing w:after="0"/>
              <w:rPr>
                <w:sz w:val="15"/>
                <w:szCs w:val="15"/>
                <w:color w:val="auto"/>
              </w:rPr>
            </w:pPr>
          </w:p>
        </w:tc>
      </w:tr>
      <w:tr>
        <w:trPr>
          <w:trHeight w:val="176"/>
        </w:trPr>
        <w:tc>
          <w:tcPr>
            <w:tcW w:w="72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finance lease right-of-use assets</w:t>
            </w:r>
          </w:p>
        </w:tc>
        <w:tc>
          <w:tcPr>
            <w:tcW w:w="1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w:t>
            </w: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4,393</w:t>
            </w:r>
          </w:p>
        </w:tc>
        <w:tc>
          <w:tcPr>
            <w:tcW w:w="100" w:type="dxa"/>
            <w:vAlign w:val="bottom"/>
            <w:shd w:val="clear" w:color="auto" w:fill="CFF0FC"/>
          </w:tcPr>
          <w:p>
            <w:pPr>
              <w:spacing w:after="0"/>
              <w:rPr>
                <w:sz w:val="15"/>
                <w:szCs w:val="15"/>
                <w:color w:val="auto"/>
              </w:rPr>
            </w:pPr>
          </w:p>
        </w:tc>
      </w:tr>
      <w:tr>
        <w:trPr>
          <w:trHeight w:val="175"/>
        </w:trPr>
        <w:tc>
          <w:tcPr>
            <w:tcW w:w="7260" w:type="dxa"/>
            <w:vAlign w:val="bottom"/>
          </w:tcPr>
          <w:p>
            <w:pPr>
              <w:ind w:left="200"/>
              <w:spacing w:after="0"/>
              <w:rPr>
                <w:sz w:val="20"/>
                <w:szCs w:val="20"/>
                <w:color w:val="auto"/>
              </w:rPr>
            </w:pPr>
            <w:r>
              <w:rPr>
                <w:rFonts w:ascii="Arial" w:cs="Arial" w:eastAsia="Arial" w:hAnsi="Arial"/>
                <w:sz w:val="14"/>
                <w:szCs w:val="14"/>
                <w:color w:val="auto"/>
              </w:rPr>
              <w:t>Net accretion of premium and discount on investments</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1,512</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Pr>
          <w:p>
            <w:pPr>
              <w:spacing w:after="0"/>
              <w:rPr>
                <w:sz w:val="15"/>
                <w:szCs w:val="15"/>
                <w:color w:val="auto"/>
              </w:rPr>
            </w:pPr>
          </w:p>
        </w:tc>
      </w:tr>
      <w:tr>
        <w:trPr>
          <w:trHeight w:val="176"/>
        </w:trPr>
        <w:tc>
          <w:tcPr>
            <w:tcW w:w="72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Unrealized loss on equity investments</w:t>
            </w:r>
          </w:p>
        </w:tc>
        <w:tc>
          <w:tcPr>
            <w:tcW w:w="1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5"/>
                <w:szCs w:val="15"/>
                <w:color w:val="auto"/>
              </w:rPr>
            </w:pPr>
          </w:p>
        </w:tc>
      </w:tr>
      <w:tr>
        <w:trPr>
          <w:trHeight w:val="176"/>
        </w:trPr>
        <w:tc>
          <w:tcPr>
            <w:tcW w:w="7260" w:type="dxa"/>
            <w:vAlign w:val="bottom"/>
          </w:tcPr>
          <w:p>
            <w:pPr>
              <w:ind w:left="200"/>
              <w:spacing w:after="0"/>
              <w:rPr>
                <w:sz w:val="20"/>
                <w:szCs w:val="20"/>
                <w:color w:val="auto"/>
              </w:rPr>
            </w:pPr>
            <w:r>
              <w:rPr>
                <w:rFonts w:ascii="Arial" w:cs="Arial" w:eastAsia="Arial" w:hAnsi="Arial"/>
                <w:sz w:val="14"/>
                <w:szCs w:val="14"/>
                <w:color w:val="auto"/>
              </w:rPr>
              <w:t>Investment income in unconsolidated variable interest entity</w:t>
            </w:r>
          </w:p>
        </w:tc>
        <w:tc>
          <w:tcPr>
            <w:tcW w:w="110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(885 )</w:t>
            </w:r>
          </w:p>
        </w:tc>
        <w:tc>
          <w:tcPr>
            <w:tcW w:w="68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(323 )</w:t>
            </w:r>
          </w:p>
        </w:tc>
      </w:tr>
      <w:tr>
        <w:trPr>
          <w:trHeight w:val="175"/>
        </w:trPr>
        <w:tc>
          <w:tcPr>
            <w:tcW w:w="72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(Gain) / loss on disposal of property and equipment</w:t>
            </w:r>
          </w:p>
        </w:tc>
        <w:tc>
          <w:tcPr>
            <w:tcW w:w="1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(1 )</w:t>
            </w: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FF0FC"/>
          </w:tcPr>
          <w:p>
            <w:pPr>
              <w:spacing w:after="0"/>
              <w:rPr>
                <w:sz w:val="15"/>
                <w:szCs w:val="15"/>
                <w:color w:val="auto"/>
              </w:rPr>
            </w:pPr>
          </w:p>
        </w:tc>
      </w:tr>
      <w:tr>
        <w:trPr>
          <w:trHeight w:val="176"/>
        </w:trPr>
        <w:tc>
          <w:tcPr>
            <w:tcW w:w="726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33,810</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38,385</w:t>
            </w:r>
          </w:p>
        </w:tc>
        <w:tc>
          <w:tcPr>
            <w:tcW w:w="100" w:type="dxa"/>
            <w:vAlign w:val="bottom"/>
          </w:tcPr>
          <w:p>
            <w:pPr>
              <w:spacing w:after="0"/>
              <w:rPr>
                <w:sz w:val="15"/>
                <w:szCs w:val="15"/>
                <w:color w:val="auto"/>
              </w:rPr>
            </w:pPr>
          </w:p>
        </w:tc>
      </w:tr>
      <w:tr>
        <w:trPr>
          <w:trHeight w:val="175"/>
        </w:trPr>
        <w:tc>
          <w:tcPr>
            <w:tcW w:w="72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Expense for acquired in-process research and development asset</w:t>
            </w:r>
          </w:p>
        </w:tc>
        <w:tc>
          <w:tcPr>
            <w:tcW w:w="1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FF0FC"/>
          </w:tcPr>
          <w:p>
            <w:pPr>
              <w:spacing w:after="0"/>
              <w:rPr>
                <w:sz w:val="15"/>
                <w:szCs w:val="15"/>
                <w:color w:val="auto"/>
              </w:rPr>
            </w:pPr>
          </w:p>
        </w:tc>
      </w:tr>
      <w:tr>
        <w:trPr>
          <w:trHeight w:val="176"/>
        </w:trPr>
        <w:tc>
          <w:tcPr>
            <w:tcW w:w="7260" w:type="dxa"/>
            <w:vAlign w:val="bottom"/>
          </w:tcPr>
          <w:p>
            <w:pPr>
              <w:ind w:left="200"/>
              <w:spacing w:after="0"/>
              <w:rPr>
                <w:sz w:val="20"/>
                <w:szCs w:val="20"/>
                <w:color w:val="auto"/>
              </w:rPr>
            </w:pPr>
            <w:r>
              <w:rPr>
                <w:rFonts w:ascii="Arial" w:cs="Arial" w:eastAsia="Arial" w:hAnsi="Arial"/>
                <w:sz w:val="14"/>
                <w:szCs w:val="14"/>
                <w:color w:val="auto"/>
              </w:rPr>
              <w:t>Realized loss on sales of available-for-sale securities</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r>
      <w:tr>
        <w:trPr>
          <w:trHeight w:val="176"/>
        </w:trPr>
        <w:tc>
          <w:tcPr>
            <w:tcW w:w="7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260" w:type="dxa"/>
            <w:vAlign w:val="bottom"/>
          </w:tcPr>
          <w:p>
            <w:pPr>
              <w:ind w:left="200"/>
              <w:spacing w:after="0"/>
              <w:rPr>
                <w:sz w:val="20"/>
                <w:szCs w:val="20"/>
                <w:color w:val="auto"/>
              </w:rPr>
            </w:pPr>
            <w:r>
              <w:rPr>
                <w:rFonts w:ascii="Arial" w:cs="Arial" w:eastAsia="Arial" w:hAnsi="Arial"/>
                <w:sz w:val="14"/>
                <w:szCs w:val="14"/>
                <w:color w:val="auto"/>
              </w:rPr>
              <w:t>Accounts receivable, net</w:t>
            </w:r>
          </w:p>
        </w:tc>
        <w:tc>
          <w:tcPr>
            <w:tcW w:w="110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(16,200 )</w:t>
            </w:r>
          </w:p>
        </w:tc>
        <w:tc>
          <w:tcPr>
            <w:tcW w:w="6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17,868</w:t>
            </w:r>
          </w:p>
        </w:tc>
        <w:tc>
          <w:tcPr>
            <w:tcW w:w="100" w:type="dxa"/>
            <w:vAlign w:val="bottom"/>
          </w:tcPr>
          <w:p>
            <w:pPr>
              <w:spacing w:after="0"/>
              <w:rPr>
                <w:sz w:val="15"/>
                <w:szCs w:val="15"/>
                <w:color w:val="auto"/>
              </w:rPr>
            </w:pPr>
          </w:p>
        </w:tc>
      </w:tr>
      <w:tr>
        <w:trPr>
          <w:trHeight w:val="176"/>
        </w:trPr>
        <w:tc>
          <w:tcPr>
            <w:tcW w:w="72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Inventories</w:t>
            </w:r>
          </w:p>
        </w:tc>
        <w:tc>
          <w:tcPr>
            <w:tcW w:w="1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(10,858 )</w:t>
            </w:r>
          </w:p>
        </w:tc>
        <w:tc>
          <w:tcPr>
            <w:tcW w:w="6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(7,861 )</w:t>
            </w:r>
          </w:p>
        </w:tc>
      </w:tr>
      <w:tr>
        <w:trPr>
          <w:trHeight w:val="175"/>
        </w:trPr>
        <w:tc>
          <w:tcPr>
            <w:tcW w:w="7260" w:type="dxa"/>
            <w:vAlign w:val="bottom"/>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11,596</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2,231</w:t>
            </w:r>
          </w:p>
        </w:tc>
        <w:tc>
          <w:tcPr>
            <w:tcW w:w="100" w:type="dxa"/>
            <w:vAlign w:val="bottom"/>
          </w:tcPr>
          <w:p>
            <w:pPr>
              <w:spacing w:after="0"/>
              <w:rPr>
                <w:sz w:val="15"/>
                <w:szCs w:val="15"/>
                <w:color w:val="auto"/>
              </w:rPr>
            </w:pPr>
          </w:p>
        </w:tc>
      </w:tr>
      <w:tr>
        <w:trPr>
          <w:trHeight w:val="176"/>
        </w:trPr>
        <w:tc>
          <w:tcPr>
            <w:tcW w:w="72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right-of-use assets</w:t>
            </w:r>
          </w:p>
        </w:tc>
        <w:tc>
          <w:tcPr>
            <w:tcW w:w="1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6,256</w:t>
            </w: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(1,800 )</w:t>
            </w:r>
          </w:p>
        </w:tc>
      </w:tr>
      <w:tr>
        <w:trPr>
          <w:trHeight w:val="175"/>
        </w:trPr>
        <w:tc>
          <w:tcPr>
            <w:tcW w:w="7260" w:type="dxa"/>
            <w:vAlign w:val="bottom"/>
          </w:tcPr>
          <w:p>
            <w:pPr>
              <w:ind w:left="200"/>
              <w:spacing w:after="0"/>
              <w:rPr>
                <w:sz w:val="20"/>
                <w:szCs w:val="20"/>
                <w:color w:val="auto"/>
              </w:rPr>
            </w:pPr>
            <w:r>
              <w:rPr>
                <w:rFonts w:ascii="Arial" w:cs="Arial" w:eastAsia="Arial" w:hAnsi="Arial"/>
                <w:sz w:val="14"/>
                <w:szCs w:val="14"/>
                <w:color w:val="auto"/>
              </w:rPr>
              <w:t>Other assets</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1,487</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(3,066 )</w:t>
            </w:r>
          </w:p>
        </w:tc>
      </w:tr>
      <w:tr>
        <w:trPr>
          <w:trHeight w:val="176"/>
        </w:trPr>
        <w:tc>
          <w:tcPr>
            <w:tcW w:w="72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1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4,192</w:t>
            </w: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(1,013 )</w:t>
            </w:r>
          </w:p>
        </w:tc>
      </w:tr>
      <w:tr>
        <w:trPr>
          <w:trHeight w:val="176"/>
        </w:trPr>
        <w:tc>
          <w:tcPr>
            <w:tcW w:w="7260" w:type="dxa"/>
            <w:vAlign w:val="bottom"/>
          </w:tcPr>
          <w:p>
            <w:pPr>
              <w:ind w:left="200"/>
              <w:spacing w:after="0"/>
              <w:rPr>
                <w:sz w:val="20"/>
                <w:szCs w:val="20"/>
                <w:color w:val="auto"/>
              </w:rPr>
            </w:pPr>
            <w:r>
              <w:rPr>
                <w:rFonts w:ascii="Arial" w:cs="Arial" w:eastAsia="Arial" w:hAnsi="Arial"/>
                <w:sz w:val="14"/>
                <w:szCs w:val="14"/>
                <w:color w:val="auto"/>
              </w:rPr>
              <w:t>Accrued and other liabilities</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61,005</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27,745</w:t>
            </w:r>
          </w:p>
        </w:tc>
        <w:tc>
          <w:tcPr>
            <w:tcW w:w="100" w:type="dxa"/>
            <w:vAlign w:val="bottom"/>
          </w:tcPr>
          <w:p>
            <w:pPr>
              <w:spacing w:after="0"/>
              <w:rPr>
                <w:sz w:val="15"/>
                <w:szCs w:val="15"/>
                <w:color w:val="auto"/>
              </w:rPr>
            </w:pPr>
          </w:p>
        </w:tc>
      </w:tr>
      <w:tr>
        <w:trPr>
          <w:trHeight w:val="175"/>
        </w:trPr>
        <w:tc>
          <w:tcPr>
            <w:tcW w:w="72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liabilities, current</w:t>
            </w:r>
          </w:p>
        </w:tc>
        <w:tc>
          <w:tcPr>
            <w:tcW w:w="1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w:t>
            </w: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FF0FC"/>
          </w:tcPr>
          <w:p>
            <w:pPr>
              <w:spacing w:after="0"/>
              <w:rPr>
                <w:sz w:val="15"/>
                <w:szCs w:val="15"/>
                <w:color w:val="auto"/>
              </w:rPr>
            </w:pPr>
          </w:p>
        </w:tc>
      </w:tr>
      <w:tr>
        <w:trPr>
          <w:trHeight w:val="176"/>
        </w:trPr>
        <w:tc>
          <w:tcPr>
            <w:tcW w:w="7260" w:type="dxa"/>
            <w:vAlign w:val="bottom"/>
          </w:tcPr>
          <w:p>
            <w:pPr>
              <w:ind w:left="200"/>
              <w:spacing w:after="0"/>
              <w:rPr>
                <w:sz w:val="20"/>
                <w:szCs w:val="20"/>
                <w:color w:val="auto"/>
              </w:rPr>
            </w:pPr>
            <w:r>
              <w:rPr>
                <w:rFonts w:ascii="Arial" w:cs="Arial" w:eastAsia="Arial" w:hAnsi="Arial"/>
                <w:sz w:val="14"/>
                <w:szCs w:val="14"/>
                <w:color w:val="auto"/>
              </w:rPr>
              <w:t>Deferred revenue</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9,651</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33,078</w:t>
            </w:r>
          </w:p>
        </w:tc>
        <w:tc>
          <w:tcPr>
            <w:tcW w:w="100" w:type="dxa"/>
            <w:vAlign w:val="bottom"/>
          </w:tcPr>
          <w:p>
            <w:pPr>
              <w:spacing w:after="0"/>
              <w:rPr>
                <w:sz w:val="15"/>
                <w:szCs w:val="15"/>
                <w:color w:val="auto"/>
              </w:rPr>
            </w:pPr>
          </w:p>
        </w:tc>
      </w:tr>
      <w:tr>
        <w:trPr>
          <w:trHeight w:val="175"/>
        </w:trPr>
        <w:tc>
          <w:tcPr>
            <w:tcW w:w="72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interest for finance lease liabilities</w:t>
            </w:r>
          </w:p>
        </w:tc>
        <w:tc>
          <w:tcPr>
            <w:tcW w:w="1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(73 )</w:t>
            </w:r>
          </w:p>
        </w:tc>
      </w:tr>
      <w:tr>
        <w:trPr>
          <w:trHeight w:val="176"/>
        </w:trPr>
        <w:tc>
          <w:tcPr>
            <w:tcW w:w="7260" w:type="dxa"/>
            <w:vAlign w:val="bottom"/>
          </w:tcPr>
          <w:p>
            <w:pPr>
              <w:ind w:left="200"/>
              <w:spacing w:after="0"/>
              <w:rPr>
                <w:sz w:val="20"/>
                <w:szCs w:val="20"/>
                <w:color w:val="auto"/>
              </w:rPr>
            </w:pPr>
            <w:r>
              <w:rPr>
                <w:rFonts w:ascii="Arial" w:cs="Arial" w:eastAsia="Arial" w:hAnsi="Arial"/>
                <w:sz w:val="14"/>
                <w:szCs w:val="14"/>
                <w:color w:val="auto"/>
              </w:rPr>
              <w:t>Operating lease liabilities, non-current</w:t>
            </w:r>
          </w:p>
        </w:tc>
        <w:tc>
          <w:tcPr>
            <w:tcW w:w="110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(5,574 )</w:t>
            </w:r>
          </w:p>
        </w:tc>
        <w:tc>
          <w:tcPr>
            <w:tcW w:w="6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1,388</w:t>
            </w:r>
          </w:p>
        </w:tc>
        <w:tc>
          <w:tcPr>
            <w:tcW w:w="100" w:type="dxa"/>
            <w:vAlign w:val="bottom"/>
          </w:tcPr>
          <w:p>
            <w:pPr>
              <w:spacing w:after="0"/>
              <w:rPr>
                <w:sz w:val="15"/>
                <w:szCs w:val="15"/>
                <w:color w:val="auto"/>
              </w:rPr>
            </w:pPr>
          </w:p>
        </w:tc>
      </w:tr>
      <w:tr>
        <w:trPr>
          <w:trHeight w:val="176"/>
        </w:trPr>
        <w:tc>
          <w:tcPr>
            <w:tcW w:w="72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long-term liabilities</w:t>
            </w:r>
          </w:p>
        </w:tc>
        <w:tc>
          <w:tcPr>
            <w:tcW w:w="1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(7,064 )</w:t>
            </w:r>
          </w:p>
        </w:tc>
        <w:tc>
          <w:tcPr>
            <w:tcW w:w="6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(8,065 )</w:t>
            </w:r>
          </w:p>
        </w:tc>
      </w:tr>
      <w:tr>
        <w:trPr>
          <w:trHeight w:val="20"/>
        </w:trPr>
        <w:tc>
          <w:tcPr>
            <w:tcW w:w="72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260" w:type="dxa"/>
            <w:vAlign w:val="bottom"/>
          </w:tcPr>
          <w:p>
            <w:pPr>
              <w:ind w:left="380"/>
              <w:spacing w:after="0"/>
              <w:rPr>
                <w:sz w:val="20"/>
                <w:szCs w:val="20"/>
                <w:color w:val="auto"/>
              </w:rPr>
            </w:pPr>
            <w:r>
              <w:rPr>
                <w:rFonts w:ascii="Arial" w:cs="Arial" w:eastAsia="Arial" w:hAnsi="Arial"/>
                <w:sz w:val="14"/>
                <w:szCs w:val="14"/>
                <w:color w:val="auto"/>
              </w:rPr>
              <w:t>Net cash used in operating activities</w:t>
            </w:r>
          </w:p>
        </w:tc>
        <w:tc>
          <w:tcPr>
            <w:tcW w:w="1100" w:type="dxa"/>
            <w:vAlign w:val="bottom"/>
          </w:tcPr>
          <w:p>
            <w:pPr>
              <w:spacing w:after="0"/>
              <w:rPr>
                <w:sz w:val="14"/>
                <w:szCs w:val="14"/>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(41,540 )</w:t>
            </w:r>
          </w:p>
        </w:tc>
        <w:tc>
          <w:tcPr>
            <w:tcW w:w="6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(71,527 )</w:t>
            </w:r>
          </w:p>
        </w:tc>
      </w:tr>
      <w:tr>
        <w:trPr>
          <w:trHeight w:val="169"/>
        </w:trPr>
        <w:tc>
          <w:tcPr>
            <w:tcW w:w="7260" w:type="dxa"/>
            <w:vAlign w:val="bottom"/>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26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Purchases of property and equipment</w:t>
            </w:r>
          </w:p>
        </w:tc>
        <w:tc>
          <w:tcPr>
            <w:tcW w:w="1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(2,543 )</w:t>
            </w:r>
          </w:p>
        </w:tc>
        <w:tc>
          <w:tcPr>
            <w:tcW w:w="6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(2,215 )</w:t>
            </w:r>
          </w:p>
        </w:tc>
      </w:tr>
      <w:tr>
        <w:trPr>
          <w:trHeight w:val="175"/>
        </w:trPr>
        <w:tc>
          <w:tcPr>
            <w:tcW w:w="7260" w:type="dxa"/>
            <w:vAlign w:val="bottom"/>
          </w:tcPr>
          <w:p>
            <w:pPr>
              <w:ind w:left="20"/>
              <w:spacing w:after="0"/>
              <w:rPr>
                <w:sz w:val="20"/>
                <w:szCs w:val="20"/>
                <w:color w:val="auto"/>
              </w:rPr>
            </w:pPr>
            <w:r>
              <w:rPr>
                <w:rFonts w:ascii="Arial" w:cs="Arial" w:eastAsia="Arial" w:hAnsi="Arial"/>
                <w:sz w:val="14"/>
                <w:szCs w:val="14"/>
                <w:color w:val="auto"/>
              </w:rPr>
              <w:t>Payment made for acquired in-process research and development asset</w:t>
            </w:r>
          </w:p>
        </w:tc>
        <w:tc>
          <w:tcPr>
            <w:tcW w:w="110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(35,000 )</w:t>
            </w:r>
          </w:p>
        </w:tc>
        <w:tc>
          <w:tcPr>
            <w:tcW w:w="680" w:type="dxa"/>
            <w:vAlign w:val="bottom"/>
          </w:tcPr>
          <w:p>
            <w:pPr>
              <w:spacing w:after="0"/>
              <w:rPr>
                <w:sz w:val="15"/>
                <w:szCs w:val="15"/>
                <w:color w:val="auto"/>
              </w:rPr>
            </w:pPr>
          </w:p>
        </w:tc>
        <w:tc>
          <w:tcPr>
            <w:tcW w:w="12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sale of property and equipment</w:t>
            </w:r>
          </w:p>
        </w:tc>
        <w:tc>
          <w:tcPr>
            <w:tcW w:w="1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260" w:type="dxa"/>
            <w:vAlign w:val="bottom"/>
          </w:tcPr>
          <w:p>
            <w:pPr>
              <w:ind w:left="20"/>
              <w:spacing w:after="0"/>
              <w:rPr>
                <w:sz w:val="20"/>
                <w:szCs w:val="20"/>
                <w:color w:val="auto"/>
              </w:rPr>
            </w:pPr>
            <w:r>
              <w:rPr>
                <w:rFonts w:ascii="Arial" w:cs="Arial" w:eastAsia="Arial" w:hAnsi="Arial"/>
                <w:sz w:val="14"/>
                <w:szCs w:val="14"/>
                <w:color w:val="auto"/>
              </w:rPr>
              <w:t>Purchases of available-for-sale securities</w:t>
            </w:r>
          </w:p>
        </w:tc>
        <w:tc>
          <w:tcPr>
            <w:tcW w:w="110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(59,123 )</w:t>
            </w:r>
          </w:p>
        </w:tc>
        <w:tc>
          <w:tcPr>
            <w:tcW w:w="68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(266,647 )</w:t>
            </w:r>
          </w:p>
        </w:tc>
      </w:tr>
      <w:tr>
        <w:trPr>
          <w:trHeight w:val="175"/>
        </w:trPr>
        <w:tc>
          <w:tcPr>
            <w:tcW w:w="7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sales of available-for-sale securities</w:t>
            </w:r>
          </w:p>
        </w:tc>
        <w:tc>
          <w:tcPr>
            <w:tcW w:w="1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7,382</w:t>
            </w: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FF0FC"/>
          </w:tcPr>
          <w:p>
            <w:pPr>
              <w:spacing w:after="0"/>
              <w:rPr>
                <w:sz w:val="15"/>
                <w:szCs w:val="15"/>
                <w:color w:val="auto"/>
              </w:rPr>
            </w:pPr>
          </w:p>
        </w:tc>
      </w:tr>
      <w:tr>
        <w:trPr>
          <w:trHeight w:val="175"/>
        </w:trPr>
        <w:tc>
          <w:tcPr>
            <w:tcW w:w="7260" w:type="dxa"/>
            <w:vAlign w:val="bottom"/>
          </w:tcPr>
          <w:p>
            <w:pPr>
              <w:ind w:left="20"/>
              <w:spacing w:after="0"/>
              <w:rPr>
                <w:sz w:val="20"/>
                <w:szCs w:val="20"/>
                <w:color w:val="auto"/>
              </w:rPr>
            </w:pPr>
            <w:r>
              <w:rPr>
                <w:rFonts w:ascii="Arial" w:cs="Arial" w:eastAsia="Arial" w:hAnsi="Arial"/>
                <w:sz w:val="14"/>
                <w:szCs w:val="14"/>
                <w:color w:val="auto"/>
              </w:rPr>
              <w:t>Proceeds from maturities of investments</w:t>
            </w:r>
          </w:p>
        </w:tc>
        <w:tc>
          <w:tcPr>
            <w:tcW w:w="1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132,518</w:t>
            </w:r>
          </w:p>
        </w:tc>
        <w:tc>
          <w:tcPr>
            <w:tcW w:w="3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10,610</w:t>
            </w:r>
          </w:p>
        </w:tc>
        <w:tc>
          <w:tcPr>
            <w:tcW w:w="100" w:type="dxa"/>
            <w:vAlign w:val="bottom"/>
          </w:tcPr>
          <w:p>
            <w:pPr>
              <w:spacing w:after="0"/>
              <w:rPr>
                <w:sz w:val="15"/>
                <w:szCs w:val="15"/>
                <w:color w:val="auto"/>
              </w:rPr>
            </w:pPr>
          </w:p>
        </w:tc>
      </w:tr>
      <w:tr>
        <w:trPr>
          <w:trHeight w:val="169"/>
        </w:trPr>
        <w:tc>
          <w:tcPr>
            <w:tcW w:w="72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Net cash provided by (used in) investing activities</w:t>
            </w:r>
          </w:p>
        </w:tc>
        <w:tc>
          <w:tcPr>
            <w:tcW w:w="1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43,240</w:t>
            </w:r>
          </w:p>
        </w:tc>
        <w:tc>
          <w:tcPr>
            <w:tcW w:w="30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(254,252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7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2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260" w:type="dxa"/>
            <w:vAlign w:val="bottom"/>
          </w:tcPr>
          <w:p>
            <w:pPr>
              <w:ind w:left="20"/>
              <w:spacing w:after="0"/>
              <w:rPr>
                <w:sz w:val="20"/>
                <w:szCs w:val="20"/>
                <w:color w:val="auto"/>
              </w:rPr>
            </w:pPr>
            <w:r>
              <w:rPr>
                <w:rFonts w:ascii="Arial" w:cs="Arial" w:eastAsia="Arial" w:hAnsi="Arial"/>
                <w:sz w:val="14"/>
                <w:szCs w:val="14"/>
                <w:color w:val="auto"/>
              </w:rPr>
              <w:t>Repayments of finance lease liabilities</w:t>
            </w:r>
          </w:p>
        </w:tc>
        <w:tc>
          <w:tcPr>
            <w:tcW w:w="110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(23 )</w:t>
            </w:r>
          </w:p>
        </w:tc>
        <w:tc>
          <w:tcPr>
            <w:tcW w:w="68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(5,326 )</w:t>
            </w:r>
          </w:p>
        </w:tc>
      </w:tr>
      <w:tr>
        <w:trPr>
          <w:trHeight w:val="175"/>
        </w:trPr>
        <w:tc>
          <w:tcPr>
            <w:tcW w:w="7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Repayments of lease obligations</w:t>
            </w:r>
          </w:p>
        </w:tc>
        <w:tc>
          <w:tcPr>
            <w:tcW w:w="1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(201 )</w:t>
            </w:r>
          </w:p>
        </w:tc>
        <w:tc>
          <w:tcPr>
            <w:tcW w:w="6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(201 )</w:t>
            </w:r>
          </w:p>
        </w:tc>
      </w:tr>
      <w:tr>
        <w:trPr>
          <w:trHeight w:val="175"/>
        </w:trPr>
        <w:tc>
          <w:tcPr>
            <w:tcW w:w="7260" w:type="dxa"/>
            <w:vAlign w:val="bottom"/>
          </w:tcPr>
          <w:p>
            <w:pPr>
              <w:ind w:left="20"/>
              <w:spacing w:after="0"/>
              <w:rPr>
                <w:sz w:val="20"/>
                <w:szCs w:val="20"/>
                <w:color w:val="auto"/>
              </w:rPr>
            </w:pPr>
            <w:r>
              <w:rPr>
                <w:rFonts w:ascii="Arial" w:cs="Arial" w:eastAsia="Arial" w:hAnsi="Arial"/>
                <w:sz w:val="14"/>
                <w:szCs w:val="14"/>
                <w:color w:val="auto"/>
              </w:rPr>
              <w:t>Cash paid for payroll taxes on restricted stock unit releases</w:t>
            </w:r>
          </w:p>
        </w:tc>
        <w:tc>
          <w:tcPr>
            <w:tcW w:w="110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(3,361 )</w:t>
            </w:r>
          </w:p>
        </w:tc>
        <w:tc>
          <w:tcPr>
            <w:tcW w:w="68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(5,928 )</w:t>
            </w:r>
          </w:p>
        </w:tc>
      </w:tr>
      <w:tr>
        <w:trPr>
          <w:trHeight w:val="175"/>
        </w:trPr>
        <w:tc>
          <w:tcPr>
            <w:tcW w:w="7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issuance of common stock</w:t>
            </w:r>
          </w:p>
        </w:tc>
        <w:tc>
          <w:tcPr>
            <w:tcW w:w="11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2,779</w:t>
            </w:r>
          </w:p>
        </w:tc>
        <w:tc>
          <w:tcPr>
            <w:tcW w:w="300" w:type="dxa"/>
            <w:vAlign w:val="bottom"/>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11,756</w:t>
            </w:r>
          </w:p>
        </w:tc>
        <w:tc>
          <w:tcPr>
            <w:tcW w:w="100" w:type="dxa"/>
            <w:vAlign w:val="bottom"/>
            <w:shd w:val="clear" w:color="auto" w:fill="CFF0FC"/>
          </w:tcPr>
          <w:p>
            <w:pPr>
              <w:spacing w:after="0"/>
              <w:rPr>
                <w:sz w:val="15"/>
                <w:szCs w:val="15"/>
                <w:color w:val="auto"/>
              </w:rPr>
            </w:pPr>
          </w:p>
        </w:tc>
      </w:tr>
      <w:tr>
        <w:trPr>
          <w:trHeight w:val="156"/>
        </w:trPr>
        <w:tc>
          <w:tcPr>
            <w:tcW w:w="7260" w:type="dxa"/>
            <w:vAlign w:val="bottom"/>
          </w:tcPr>
          <w:p>
            <w:pPr>
              <w:ind w:left="38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1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(806</w:t>
            </w:r>
          </w:p>
        </w:tc>
        <w:tc>
          <w:tcPr>
            <w:tcW w:w="300" w:type="dxa"/>
            <w:vAlign w:val="bottom"/>
          </w:tcPr>
          <w:p>
            <w:pPr>
              <w:jc w:val="right"/>
              <w:ind w:right="168"/>
              <w:spacing w:after="0" w:line="155" w:lineRule="exact"/>
              <w:rPr>
                <w:sz w:val="20"/>
                <w:szCs w:val="20"/>
                <w:color w:val="auto"/>
              </w:rPr>
            </w:pPr>
            <w:r>
              <w:rPr>
                <w:rFonts w:ascii="Arial" w:cs="Arial" w:eastAsia="Arial" w:hAnsi="Arial"/>
                <w:sz w:val="14"/>
                <w:szCs w:val="14"/>
                <w:color w:val="auto"/>
                <w:w w:val="84"/>
              </w:rPr>
              <w:t>)</w:t>
            </w:r>
          </w:p>
        </w:tc>
        <w:tc>
          <w:tcPr>
            <w:tcW w:w="6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301</w:t>
            </w:r>
          </w:p>
        </w:tc>
        <w:tc>
          <w:tcPr>
            <w:tcW w:w="100" w:type="dxa"/>
            <w:vAlign w:val="bottom"/>
          </w:tcPr>
          <w:p>
            <w:pPr>
              <w:spacing w:after="0"/>
              <w:rPr>
                <w:sz w:val="13"/>
                <w:szCs w:val="13"/>
                <w:color w:val="auto"/>
              </w:rPr>
            </w:pPr>
          </w:p>
        </w:tc>
      </w:tr>
      <w:tr>
        <w:trPr>
          <w:trHeight w:val="169"/>
        </w:trPr>
        <w:tc>
          <w:tcPr>
            <w:tcW w:w="7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Effect of exchange rate change on cash and cash equivalents</w:t>
            </w:r>
          </w:p>
        </w:tc>
        <w:tc>
          <w:tcPr>
            <w:tcW w:w="1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(4,359</w:t>
            </w:r>
          </w:p>
        </w:tc>
        <w:tc>
          <w:tcPr>
            <w:tcW w:w="30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w w:val="84"/>
              </w:rPr>
              <w:t>)</w:t>
            </w:r>
          </w:p>
        </w:tc>
        <w:tc>
          <w:tcPr>
            <w:tcW w:w="6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26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1100" w:type="dxa"/>
            <w:vAlign w:val="bottom"/>
          </w:tcPr>
          <w:p>
            <w:pPr>
              <w:spacing w:after="0"/>
              <w:rPr>
                <w:sz w:val="14"/>
                <w:szCs w:val="14"/>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(3,465 )</w:t>
            </w:r>
          </w:p>
        </w:tc>
        <w:tc>
          <w:tcPr>
            <w:tcW w:w="6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(325,032 )</w:t>
            </w:r>
          </w:p>
        </w:tc>
      </w:tr>
      <w:tr>
        <w:trPr>
          <w:trHeight w:val="175"/>
        </w:trPr>
        <w:tc>
          <w:tcPr>
            <w:tcW w:w="7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cash and cash equivalents at beginning of period</w:t>
            </w:r>
          </w:p>
        </w:tc>
        <w:tc>
          <w:tcPr>
            <w:tcW w:w="11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171,223</w:t>
            </w:r>
          </w:p>
        </w:tc>
        <w:tc>
          <w:tcPr>
            <w:tcW w:w="30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678,393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260" w:type="dxa"/>
            <w:vAlign w:val="bottom"/>
          </w:tcPr>
          <w:p>
            <w:pPr>
              <w:ind w:left="20"/>
              <w:spacing w:after="0"/>
              <w:rPr>
                <w:sz w:val="20"/>
                <w:szCs w:val="20"/>
                <w:color w:val="auto"/>
              </w:rPr>
            </w:pPr>
            <w:r>
              <w:rPr>
                <w:rFonts w:ascii="Arial" w:cs="Arial" w:eastAsia="Arial" w:hAnsi="Arial"/>
                <w:sz w:val="14"/>
                <w:szCs w:val="14"/>
                <w:color w:val="auto"/>
              </w:rPr>
              <w:t>Total cash and cash equivalents at end of period</w:t>
            </w:r>
          </w:p>
        </w:tc>
        <w:tc>
          <w:tcPr>
            <w:tcW w:w="1100" w:type="dxa"/>
            <w:vAlign w:val="bottom"/>
            <w:tcBorders>
              <w:bottom w:val="single" w:sz="8" w:color="auto"/>
            </w:tcBorders>
          </w:tcPr>
          <w:p>
            <w:pPr>
              <w:jc w:val="right"/>
              <w:ind w:right="9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167,758</w:t>
            </w:r>
          </w:p>
        </w:tc>
        <w:tc>
          <w:tcPr>
            <w:tcW w:w="300" w:type="dxa"/>
            <w:vAlign w:val="bottom"/>
          </w:tcPr>
          <w:p>
            <w:pPr>
              <w:spacing w:after="0"/>
              <w:rPr>
                <w:sz w:val="14"/>
                <w:szCs w:val="14"/>
                <w:color w:val="auto"/>
              </w:rPr>
            </w:pPr>
          </w:p>
        </w:tc>
        <w:tc>
          <w:tcPr>
            <w:tcW w:w="6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353,361</w:t>
            </w:r>
          </w:p>
        </w:tc>
        <w:tc>
          <w:tcPr>
            <w:tcW w:w="100" w:type="dxa"/>
            <w:vAlign w:val="bottom"/>
          </w:tcPr>
          <w:p>
            <w:pPr>
              <w:spacing w:after="0"/>
              <w:rPr>
                <w:sz w:val="14"/>
                <w:szCs w:val="14"/>
                <w:color w:val="auto"/>
              </w:rPr>
            </w:pPr>
          </w:p>
        </w:tc>
      </w:tr>
      <w:tr>
        <w:trPr>
          <w:trHeight w:val="20"/>
        </w:trPr>
        <w:tc>
          <w:tcPr>
            <w:tcW w:w="7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-2422525</wp:posOffset>
            </wp:positionV>
            <wp:extent cx="6858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-2422525</wp:posOffset>
            </wp:positionV>
            <wp:extent cx="6858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-1282065</wp:posOffset>
            </wp:positionV>
            <wp:extent cx="6858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-1282065</wp:posOffset>
            </wp:positionV>
            <wp:extent cx="6858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-621030</wp:posOffset>
            </wp:positionV>
            <wp:extent cx="93980" cy="145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-621030</wp:posOffset>
            </wp:positionV>
            <wp:extent cx="93980" cy="145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-373380</wp:posOffset>
            </wp:positionV>
            <wp:extent cx="685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-373380</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-142240</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FIBROGEN,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84" w:lineRule="exact"/>
        <w:rPr>
          <w:sz w:val="20"/>
          <w:szCs w:val="20"/>
          <w:color w:val="auto"/>
        </w:rPr>
      </w:pPr>
    </w:p>
    <w:p>
      <w:pPr>
        <w:ind w:right="8480" w:firstLine="8"/>
        <w:spacing w:after="0" w:line="407" w:lineRule="auto"/>
        <w:tabs>
          <w:tab w:leader="none" w:pos="3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Description of Operations</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FibroGen, Inc. (“FibroGen” or the “Company”) is headquartered in San Francisco, California, with subsidiary offices in Beijing and Shanghai, People’s Republic of China (“China”). FibroGen is a leading biopharmaceutical company developing and commercializing a pipeline of first-in-class therapeutics. The Company applies its pioneering expertise in hypoxia-inducible factor ("HIF") biology, 2-oxoglutarate enzymology, and connective tissue growth factor to advance innovative medicines for the treatment of anemia, fibrotic disease, and cancer.</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Pamrevlumab, a human monoclonal antibody targeting connective tissue growth factor, is in Phase 3 clinical development for the treatment of idiopathic pulmonary fibrosis, locally advanced unresectable pancreatic cancer and Duchenne muscular dystrophy. To date, the Company has retained exclusive worldwide rights for pamrevlumab.</w:t>
      </w:r>
    </w:p>
    <w:p>
      <w:pPr>
        <w:spacing w:after="0" w:line="188" w:lineRule="exact"/>
        <w:rPr>
          <w:sz w:val="20"/>
          <w:szCs w:val="20"/>
          <w:color w:val="auto"/>
        </w:rPr>
      </w:pPr>
    </w:p>
    <w:p>
      <w:pPr>
        <w:jc w:val="both"/>
        <w:ind w:right="220"/>
        <w:spacing w:after="0" w:line="224" w:lineRule="exact"/>
        <w:rPr>
          <w:sz w:val="20"/>
          <w:szCs w:val="20"/>
          <w:color w:val="auto"/>
        </w:rPr>
      </w:pPr>
      <w:r>
        <w:rPr>
          <w:rFonts w:ascii="Arial" w:cs="Arial" w:eastAsia="Arial" w:hAnsi="Arial"/>
          <w:sz w:val="18"/>
          <w:szCs w:val="18"/>
          <w:color w:val="auto"/>
        </w:rPr>
        <w:t>Roxadustat is an oral small molecule inhibitor of HIF prolyl hydroxylase (“HIF-PH”) activity. Roxadustat (</w:t>
      </w:r>
      <w:r>
        <w:rPr>
          <w:rFonts w:ascii="SimSun" w:cs="SimSun" w:eastAsia="SimSun" w:hAnsi="SimSun"/>
          <w:sz w:val="18"/>
          <w:szCs w:val="18"/>
          <w:color w:val="auto"/>
        </w:rPr>
        <w:t>爱瑞卓</w:t>
      </w:r>
      <w:r>
        <w:rPr>
          <w:rFonts w:ascii="Arial" w:cs="Arial" w:eastAsia="Arial" w:hAnsi="Arial"/>
          <w:sz w:val="24"/>
          <w:szCs w:val="24"/>
          <w:color w:val="auto"/>
          <w:vertAlign w:val="superscript"/>
        </w:rPr>
        <w:t>®</w:t>
      </w:r>
      <w:r>
        <w:rPr>
          <w:rFonts w:ascii="Arial" w:cs="Arial" w:eastAsia="Arial" w:hAnsi="Arial"/>
          <w:sz w:val="18"/>
          <w:szCs w:val="18"/>
          <w:color w:val="auto"/>
        </w:rPr>
        <w:t>, EVRENZO</w:t>
      </w:r>
      <w:r>
        <w:rPr>
          <w:rFonts w:ascii="Arial" w:cs="Arial" w:eastAsia="Arial" w:hAnsi="Arial"/>
          <w:sz w:val="24"/>
          <w:szCs w:val="24"/>
          <w:color w:val="auto"/>
          <w:vertAlign w:val="superscript"/>
        </w:rPr>
        <w:t>TM</w:t>
      </w:r>
      <w:r>
        <w:rPr>
          <w:rFonts w:ascii="Arial" w:cs="Arial" w:eastAsia="Arial" w:hAnsi="Arial"/>
          <w:sz w:val="18"/>
          <w:szCs w:val="18"/>
          <w:color w:val="auto"/>
        </w:rPr>
        <w:t>) is now approved in China, Europe, Japan, and numerous other countries for the treatment of anemia in chronic kidney disease (“CKD”) patients on dialysis and those not on dialysis.</w:t>
      </w:r>
    </w:p>
    <w:p>
      <w:pPr>
        <w:spacing w:after="0" w:line="2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Astellas Pharma Inc. (“Astellas”) and FibroGen are collaborating on the development and commercialization of roxadustat for the potential treatment of anemia in territories including Japan, Europe, Turkey, Russia and the Commonwealth of Independent States, the Middle East, and South Africa. FibroGen and AstraZeneca are collaborating on the development and commercialization of roxadustat for the potential treatment of anemia in the U.S., China, other markets in the Americas, Australia/New Zealand, and Southeast Asia.</w:t>
      </w:r>
    </w:p>
    <w:p>
      <w:pPr>
        <w:spacing w:after="0" w:line="18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Roxadustat is in Phase 3 clinical development for anemia associated with myelodysplastic syndromes. The Company has completed a Phase 2 study of roxadustat in chemotherapy-induced anemia and is running a Phase 3 trial of roxadustat chemotherapy-induced anemia in China.</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a pipeline of late-stage clinical programs as well as preclinical drug candidates at various stages of development that include both small molecules and biologics. The Company has leveraged its internally developed 2-oxoglutarate and connective tissue growth factor biology expertise as well as in-licensing of additional programs, such as antibodies targeting Galectin-9 protein (“Gal-9”) and C-C Motif Chemokine Receptor 8 (“CCR8”), to further enhance its late-stage preclinical pipeline. FibroGen's goal is to build a diversified pipeline with novel drugs that will address unmet patient needs in oncology, immunology, and fibrosis.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08"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The condensed consolidated financial statements include the accounts of FibroGen, its wholly-owned subsidiaries and its majority-owned subsidiaries, FibroGen Europe Oy and FibroGen China Anemia Holdings, Ltd. All inter-company transactions and balances have been eliminated in consolidation. For the variable interest entity (“VIE”) for which FibroGen is not the primary beneficiary, the Company uses the equity method of accounting. The Company operates as one reportable segment — the discovery, development and commercialization of novel therapeutics to treat serious unmet medical needs.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consolidated financial statements and related disclosures have been prepared in accordance with accounting principles generally accepted in the United States (“U.S. GAAP”) applicable to interim financial reporting and with the instructions to Form 10-Q and Rule 10-01 of Regulation S-X of the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for the year ended December 31, 2021, filed on February 28, 2022 and as amended on March 4, 2022 (“2021 Form 10-K”).</w:t>
      </w:r>
    </w:p>
    <w:p>
      <w:pPr>
        <w:spacing w:after="0" w:line="18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Certain prior year amounts have been reclassified for consistency with the current year presentation. These reclassifications had no impact on previously reported financial position, results of operations, or cash flows.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and deferred revenue, specifically, estimates in variable consideration for drug product sales, and estimates in transaction price per unit for the China manufacturing and supply obligation.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08"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The accounting policies used by the Company in its presentation of interim financial results are consistent with those presented in Note 2 to the consolidated financial statements included in the 2021 Form 10-K, except for the updates to the following: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The Company maintains equity incentive plans under which incentive and nonqualified stock options are granted to employees, which are comprised of stock options, service-based restricted stock units ("RSUs"), performance-based RSUs and total shareholder return (“TSR”) awards.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Company measures and recognizes compensation expense for all stock options, service and performance-based restricted stock units granted to its employees and directors based on the estimated fair value of the award on the grant date. The Company uses the Black-Scholes valuation model to estimate the fair value of stock option awards. The determination of the grant date fair value of options using the Black-Scholes valuation model is affected by the Company’s estimated common stock fair value and requires management to make a number of assumptions including the expected life of the option, the volatility of the underlying stock, the risk-free interest rate and expected dividends. To estimate the fair value of the TSR awards, the Company uses the Monte Carlo valuation model to simulate the probabilities of achievement, which requires management to make a number of assumptions including 30-day average price, volatility of the underlying stock and the Company's peers, and the risk-free interest rate.</w:t>
      </w:r>
    </w:p>
    <w:p>
      <w:pPr>
        <w:spacing w:after="0" w:line="18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compensation cost of service-based stock options and restricted stock units is recognized net of any estimated forfeitures on a straight-line basis over the employee requisite service period. Compensation cost for performance-based RSUs is expensed over the respective vesting periods when the achievement of performance criteria is probable. Compensation cost for the TSR awards is recognized over the requisite service period, regardless of when, if ever, the market condition is satisfied.</w:t>
      </w:r>
    </w:p>
    <w:p>
      <w:pPr>
        <w:spacing w:after="0" w:line="18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The Company believes that the fair value of stock options granted to non-employees is more reliably measured than the fair value of the services received.</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08"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Potential common shares that would have the effect of increasing diluted earnings per share are considered to be anti-dilutive and as such, these shares are not included in the calculation of diluted earnings per share. The Company reported a net loss for each interim period presented. Therefore, dilutive common shares are not assumed to have been issued since their effect is anti-dilutive.</w:t>
      </w:r>
    </w:p>
    <w:p>
      <w:pPr>
        <w:spacing w:after="0" w:line="18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Diluted weighted average shares excluded potential common shares related to stock options, restricted stock units (including service-based RSUs, performance-based RSUs and TSR awards) and shares to be purchased under the employee stock purchase plan totaling 14.2 million and 11.4 million for the three months ended June 30, 2022 and 2021, and totaling 13.3 million and 9.4 million for the six months ended June 30, 2022 and 2021, respectively, as they were anti-dilutive.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08"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 xml:space="preserve">The Company’s future results of operations involve a number of risks and uncertainties. Factors that could affect the Company’s future operating results and cause actual results to vary materially from expectations include, but are not limited to, the results of clinical trials and the achievement of milestones, research developments, actions by </w:t>
      </w:r>
      <w:r>
        <w:rPr>
          <w:rFonts w:ascii="Arial" w:cs="Arial" w:eastAsia="Arial" w:hAnsi="Arial"/>
          <w:sz w:val="17"/>
          <w:szCs w:val="17"/>
          <w:color w:val="auto"/>
        </w:rPr>
        <w:t>regulatory authorities,</w:t>
      </w:r>
      <w:r>
        <w:rPr>
          <w:rFonts w:ascii="Arial" w:cs="Arial" w:eastAsia="Arial" w:hAnsi="Arial"/>
          <w:sz w:val="18"/>
          <w:szCs w:val="18"/>
          <w:color w:val="auto"/>
        </w:rPr>
        <w:t xml:space="preserve"> market acceptance of the Company’s product candidates, competition from other products and larger companies, intellectual property protection for the Company's proprietary technology, strategic relationships, and dependence on key individuals, suppliers, clinical organization, and other third parties.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08"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w:t>
      </w:r>
      <w:r>
        <w:rPr>
          <w:rFonts w:ascii="Arial" w:cs="Arial" w:eastAsia="Arial" w:hAnsi="Arial"/>
          <w:sz w:val="17"/>
          <w:szCs w:val="17"/>
          <w:color w:val="auto"/>
        </w:rPr>
        <w:t>(“</w:t>
      </w:r>
      <w:r>
        <w:rPr>
          <w:rFonts w:ascii="Arial" w:cs="Arial" w:eastAsia="Arial" w:hAnsi="Arial"/>
          <w:sz w:val="17"/>
          <w:szCs w:val="17"/>
          <w:i w:val="1"/>
          <w:iCs w:val="1"/>
          <w:color w:val="auto"/>
        </w:rPr>
        <w:t>ASU 2020-04”</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which provides companies with optional financial reporting alternatives to reduce the cost and complexity associated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accounting for contracts and hedging relationships affected by reference rate reform. This guidance is effective as of March 12, 2020 through December 31, 2022. Subsequently in January 2021, the FASB issued ASU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which clarifies ASU 2020-04 and provides certain optional expedients that allow derivative instruments impacted by changes in the interest rate used for margining, discounting or contract price alignment to qualify for certain optional relief. ASU 2021-01 is effective in the same timeframe as ASU2020-04. The relief offered by this guidance, if adopted, is available to companies for the period March 12, 2020 through December 31, 2022. The Company has certain lease arrangements that are linked to the London Inter-Bank Offered Rate ("LIBOR"). The Company is in the process of evaluating options for transitioning away from LIBOR and expects to complete this analysis by the time LIBOR is phased out. The Company did not elect to apply any of the expedients or exceptions as of and for the three and six months ended June 30, 2022 and is currently evaluating the impact on its condensed consolidated financial statements and related disclosures upon adoption of this guidance.</w:t>
      </w:r>
    </w:p>
    <w:p>
      <w:pPr>
        <w:spacing w:after="0" w:line="290" w:lineRule="exact"/>
        <w:rPr>
          <w:sz w:val="20"/>
          <w:szCs w:val="20"/>
          <w:color w:val="auto"/>
        </w:rPr>
      </w:pPr>
    </w:p>
    <w:p>
      <w:pPr>
        <w:ind w:right="6180" w:firstLine="8"/>
        <w:spacing w:after="0" w:line="362" w:lineRule="auto"/>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 License Agreement and Revenues Astellas Agreements</w:t>
      </w:r>
    </w:p>
    <w:p>
      <w:pPr>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Japan Agreement</w:t>
      </w:r>
    </w:p>
    <w:p>
      <w:pPr>
        <w:spacing w:after="0" w:line="10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June 2005, the Company entered into a collaboration agreement with Astellas for the development and commercialization (but not manufacture) of roxadustat for the treatment of anemia in Japan (“Japan Agreement”). Under this agreement, Astellas agreed to pay license fees, other upfront consideration and various milestone payments, totaling $172.6 million. The Japan Agreement also provides for tiered payments based on net sales of product (as defined) in the low 20% range of the list price published by Japan’s Ministry of Health, Labour and Welfare, adjusted for certain elements, after commercial launch.</w:t>
      </w:r>
    </w:p>
    <w:p>
      <w:pPr>
        <w:spacing w:after="0" w:line="15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aggregate amount of consideration received through June 30, 2022 totaled $105.1 million, excluding drug product revenue that is discussed separately below.</w:t>
      </w:r>
    </w:p>
    <w:p>
      <w:pPr>
        <w:spacing w:after="0" w:line="17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Amounts recognized as license revenue and development revenue under the Japan Agreement with Astellas were as follows for the three and six months ended June 30, 2022 and 2021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Agreement</w:t>
            </w:r>
          </w:p>
        </w:tc>
        <w:tc>
          <w:tcPr>
            <w:tcW w:w="180" w:type="dxa"/>
            <w:vAlign w:val="bottom"/>
          </w:tcPr>
          <w:p>
            <w:pPr>
              <w:spacing w:after="0"/>
              <w:rPr>
                <w:sz w:val="14"/>
                <w:szCs w:val="14"/>
                <w:color w:val="auto"/>
              </w:rPr>
            </w:pPr>
          </w:p>
        </w:tc>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960" w:type="dxa"/>
            <w:vAlign w:val="bottom"/>
          </w:tcPr>
          <w:p>
            <w:pPr>
              <w:jc w:val="right"/>
              <w:ind w:right="77"/>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13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Japan</w:t>
            </w:r>
          </w:p>
        </w:tc>
        <w:tc>
          <w:tcPr>
            <w:tcW w:w="180" w:type="dxa"/>
            <w:vAlign w:val="bottom"/>
            <w:shd w:val="clear" w:color="auto" w:fill="CFF0FC"/>
          </w:tcPr>
          <w:p>
            <w:pPr>
              <w:spacing w:after="0"/>
              <w:rPr>
                <w:sz w:val="17"/>
                <w:szCs w:val="17"/>
                <w:color w:val="auto"/>
              </w:rPr>
            </w:pPr>
          </w:p>
        </w:tc>
        <w:tc>
          <w:tcPr>
            <w:tcW w:w="34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License revenue</w:t>
            </w:r>
          </w:p>
        </w:tc>
        <w:tc>
          <w:tcPr>
            <w:tcW w:w="18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ind w:right="777"/>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ind w:left="160"/>
              <w:spacing w:after="0" w:line="196" w:lineRule="exact"/>
              <w:rPr>
                <w:sz w:val="20"/>
                <w:szCs w:val="20"/>
                <w:color w:val="auto"/>
              </w:rPr>
            </w:pPr>
            <w:r>
              <w:rPr>
                <w:rFonts w:ascii="Arial" w:cs="Arial" w:eastAsia="Arial" w:hAnsi="Arial"/>
                <w:sz w:val="18"/>
                <w:szCs w:val="18"/>
                <w:color w:val="auto"/>
                <w:w w:val="88"/>
              </w:rPr>
              <w:t>—</w:t>
            </w:r>
          </w:p>
        </w:tc>
        <w:tc>
          <w:tcPr>
            <w:tcW w:w="30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6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30"/>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Development revenue</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340" w:type="dxa"/>
            <w:vAlign w:val="bottom"/>
          </w:tcPr>
          <w:p>
            <w:pPr>
              <w:ind w:left="160"/>
              <w:spacing w:after="0"/>
              <w:rPr>
                <w:sz w:val="20"/>
                <w:szCs w:val="20"/>
                <w:color w:val="auto"/>
              </w:rPr>
            </w:pPr>
            <w:r>
              <w:rPr>
                <w:rFonts w:ascii="Arial" w:cs="Arial" w:eastAsia="Arial" w:hAnsi="Arial"/>
                <w:sz w:val="18"/>
                <w:szCs w:val="18"/>
                <w:color w:val="auto"/>
                <w:w w:val="79"/>
              </w:rPr>
              <w:t>79</w:t>
            </w:r>
          </w:p>
        </w:tc>
        <w:tc>
          <w:tcPr>
            <w:tcW w:w="13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360" w:type="dxa"/>
            <w:vAlign w:val="bottom"/>
          </w:tcPr>
          <w:p>
            <w:pPr>
              <w:ind w:left="160"/>
              <w:spacing w:after="0"/>
              <w:rPr>
                <w:sz w:val="20"/>
                <w:szCs w:val="20"/>
                <w:color w:val="auto"/>
              </w:rPr>
            </w:pPr>
            <w:r>
              <w:rPr>
                <w:rFonts w:ascii="Arial" w:cs="Arial" w:eastAsia="Arial" w:hAnsi="Arial"/>
                <w:sz w:val="18"/>
                <w:szCs w:val="18"/>
                <w:color w:val="auto"/>
                <w:w w:val="89"/>
              </w:rPr>
              <w:t>99</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r>
      <w:tr>
        <w:trPr>
          <w:trHeight w:val="607"/>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17"/>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13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4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transaction price related to consideration received and accounts receivable has been allocated to each of the following performance obligations under the Japan Agreement with Astellas, along with any associated deferred revenue as follows (in thousands):</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jc w:val="center"/>
              <w:ind w:right="240"/>
              <w:spacing w:after="0"/>
              <w:rPr>
                <w:sz w:val="20"/>
                <w:szCs w:val="20"/>
                <w:color w:val="auto"/>
              </w:rPr>
            </w:pPr>
            <w:r>
              <w:rPr>
                <w:rFonts w:ascii="Arial" w:cs="Arial" w:eastAsia="Arial" w:hAnsi="Arial"/>
                <w:sz w:val="14"/>
                <w:szCs w:val="14"/>
                <w:b w:val="1"/>
                <w:bCs w:val="1"/>
                <w:color w:val="auto"/>
                <w:w w:val="95"/>
              </w:rPr>
              <w:t>Cumulative</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vMerge w:val="restart"/>
          </w:tcPr>
          <w:p>
            <w:pPr>
              <w:jc w:val="center"/>
              <w:ind w:right="259"/>
              <w:spacing w:after="0"/>
              <w:rPr>
                <w:sz w:val="20"/>
                <w:szCs w:val="20"/>
                <w:color w:val="auto"/>
              </w:rPr>
            </w:pPr>
            <w:r>
              <w:rPr>
                <w:rFonts w:ascii="Arial" w:cs="Arial" w:eastAsia="Arial" w:hAnsi="Arial"/>
                <w:sz w:val="14"/>
                <w:szCs w:val="14"/>
                <w:b w:val="1"/>
                <w:bCs w:val="1"/>
                <w:color w:val="auto"/>
                <w:w w:val="93"/>
              </w:rPr>
              <w:t>Deferred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Revenue</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Japan Agreement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Through</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0"/>
              </w:rPr>
              <w:t>June 30, 2022</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2"/>
              </w:rPr>
              <w:t>June 30, 2022</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2"/>
              </w:rPr>
              <w:t>June 30,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License</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100,347</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shd w:val="clear" w:color="auto" w:fill="CFF0FC"/>
          </w:tcPr>
          <w:p>
            <w:pPr>
              <w:ind w:left="140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100,347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Borders>
              <w:bottom w:val="single" w:sz="8" w:color="CFF0FC"/>
            </w:tcBorders>
          </w:tcPr>
          <w:p>
            <w:pPr>
              <w:spacing w:after="0" w:line="202" w:lineRule="exact"/>
              <w:rPr>
                <w:sz w:val="20"/>
                <w:szCs w:val="20"/>
                <w:color w:val="auto"/>
              </w:rPr>
            </w:pPr>
            <w:r>
              <w:rPr>
                <w:rFonts w:ascii="Arial" w:cs="Arial" w:eastAsia="Arial" w:hAnsi="Arial"/>
                <w:sz w:val="18"/>
                <w:szCs w:val="18"/>
                <w:color w:val="auto"/>
              </w:rPr>
              <w:t>Development revenue</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16,709</w:t>
            </w:r>
          </w:p>
        </w:tc>
        <w:tc>
          <w:tcPr>
            <w:tcW w:w="24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ind w:left="140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16,709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4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license and development revenue</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117,056</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FF0FC"/>
          </w:tcPr>
          <w:p>
            <w:pPr>
              <w:ind w:left="1400"/>
              <w:spacing w:after="0" w:line="182"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117,056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-25400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-162560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-25400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-162560</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right="480"/>
        <w:spacing w:after="0" w:line="243" w:lineRule="auto"/>
        <w:rPr>
          <w:sz w:val="20"/>
          <w:szCs w:val="20"/>
          <w:color w:val="auto"/>
        </w:rPr>
      </w:pPr>
      <w:r>
        <w:rPr>
          <w:rFonts w:ascii="Arial" w:cs="Arial" w:eastAsia="Arial" w:hAnsi="Arial"/>
          <w:sz w:val="18"/>
          <w:szCs w:val="18"/>
          <w:color w:val="auto"/>
        </w:rPr>
        <w:t>There was no revenue resulting from changes to estimated variable consideration in the current period relating to performance obligations satisfied or partially satisfied in previous periods for the three months ended June 30, 2022 under the Japan Agreement. The Company does not expect material variable consideration from estimated future co-development billing beyond the development period in the transaction price related to the Japan Agreement.</w:t>
      </w:r>
    </w:p>
    <w:p>
      <w:pPr>
        <w:spacing w:after="0" w:line="18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 xml:space="preserve">In 2018, FibroGen and Astellas entered into an amendment to the Japan Agreement that allows Astellas to manufacture roxadustat drug product for commercialization in Japan (the “Japan Amendment”). The related drug product revenue, as described under </w:t>
      </w:r>
      <w:r>
        <w:rPr>
          <w:rFonts w:ascii="Arial" w:cs="Arial" w:eastAsia="Arial" w:hAnsi="Arial"/>
          <w:sz w:val="18"/>
          <w:szCs w:val="18"/>
          <w:i w:val="1"/>
          <w:iCs w:val="1"/>
          <w:color w:val="auto"/>
        </w:rPr>
        <w:t>Drug Product Revenue</w:t>
      </w:r>
      <w:r>
        <w:rPr>
          <w:rFonts w:ascii="Arial" w:cs="Arial" w:eastAsia="Arial" w:hAnsi="Arial"/>
          <w:sz w:val="18"/>
          <w:szCs w:val="18"/>
          <w:color w:val="auto"/>
        </w:rPr>
        <w:t xml:space="preserve"> section below, was immaterial for the three months ended June 30, 2022, $(2.0) million for the three months ended June 30, 2021, and $7.6 million and $2.1 million for the six months ended June 30, 2022 and 2021,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Agreement</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agreed to pay license fees, other upfront consideration and various milestone payments, totaling $745.0 million. Under the Europe Agreement, Astellas committed to fund 50% of joint development costs for Europe and North America, and all territory-specific costs. The Europe Agreement also provides for tiered payments based on net sales of product (as defined) in the low 20% range.</w:t>
      </w:r>
    </w:p>
    <w:p>
      <w:pPr>
        <w:spacing w:after="0" w:line="179"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On March 21, 2022, EVRENZO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(roxadustat) was registered with the Russian Ministry of Health. The Company evaluated the regulatory milestone payment associated with the approval in Russia under the Europe Agreement and concluded that this milestone was achieved in the first quarter of 2022. Accordingly, the consideration of $25.0 million associated with this milestone was included in the transaction price and allocated to performance obligations under the Europe Agreement, all of which was recognized as revenue during the first quarter of 2022 from performance obligations satisfied. Such amount was billed and recorded in accounts receivable from Astellas as of March 31, 2022 and received in April 2022.</w:t>
      </w:r>
    </w:p>
    <w:p>
      <w:pPr>
        <w:spacing w:after="0" w:line="17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aggregate amount of consideration received under the Europe Agreement through June 30, 2022 totaled $685.0 million, excluding drug product revenue that is discussed separately below.</w:t>
      </w:r>
    </w:p>
    <w:p>
      <w:pPr>
        <w:spacing w:after="0" w:line="17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Amounts recognized as license revenue and development revenue under the Europe Agreement with Astellas were as follows for the three and six months ended June 30, 2022 and 2021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Agreement</w:t>
            </w:r>
          </w:p>
        </w:tc>
        <w:tc>
          <w:tcPr>
            <w:tcW w:w="160" w:type="dxa"/>
            <w:vAlign w:val="bottom"/>
          </w:tcPr>
          <w:p>
            <w:pPr>
              <w:spacing w:after="0"/>
              <w:rPr>
                <w:sz w:val="14"/>
                <w:szCs w:val="14"/>
                <w:color w:val="auto"/>
              </w:rPr>
            </w:pPr>
          </w:p>
        </w:tc>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300" w:type="dxa"/>
            <w:vAlign w:val="bottom"/>
          </w:tcPr>
          <w:p>
            <w:pPr>
              <w:spacing w:after="0"/>
              <w:rPr>
                <w:sz w:val="14"/>
                <w:szCs w:val="14"/>
                <w:color w:val="auto"/>
              </w:rPr>
            </w:pPr>
          </w:p>
        </w:tc>
        <w:tc>
          <w:tcPr>
            <w:tcW w:w="1000" w:type="dxa"/>
            <w:vAlign w:val="bottom"/>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13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Europe</w:t>
            </w:r>
          </w:p>
        </w:tc>
        <w:tc>
          <w:tcPr>
            <w:tcW w:w="160" w:type="dxa"/>
            <w:vAlign w:val="bottom"/>
            <w:shd w:val="clear" w:color="auto" w:fill="CFF0FC"/>
          </w:tcPr>
          <w:p>
            <w:pPr>
              <w:spacing w:after="0"/>
              <w:rPr>
                <w:sz w:val="17"/>
                <w:szCs w:val="17"/>
                <w:color w:val="auto"/>
              </w:rPr>
            </w:pPr>
          </w:p>
        </w:tc>
        <w:tc>
          <w:tcPr>
            <w:tcW w:w="34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License revenue</w:t>
            </w:r>
          </w:p>
        </w:tc>
        <w:tc>
          <w:tcPr>
            <w:tcW w:w="18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22,590</w:t>
            </w: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30"/>
        </w:trPr>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Development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1,746</w:t>
            </w:r>
          </w:p>
        </w:tc>
        <w:tc>
          <w:tcPr>
            <w:tcW w:w="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2,546</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6,894</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6,077</w:t>
            </w:r>
          </w:p>
        </w:tc>
        <w:tc>
          <w:tcPr>
            <w:tcW w:w="100" w:type="dxa"/>
            <w:vAlign w:val="bottom"/>
          </w:tcPr>
          <w:p>
            <w:pPr>
              <w:spacing w:after="0"/>
              <w:rPr>
                <w:sz w:val="20"/>
                <w:szCs w:val="20"/>
                <w:color w:val="auto"/>
              </w:rPr>
            </w:pPr>
          </w:p>
        </w:tc>
      </w:tr>
      <w:tr>
        <w:trPr>
          <w:trHeight w:val="607"/>
        </w:trPr>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537"/>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
        </w:trPr>
        <w:tc>
          <w:tcPr>
            <w:tcW w:w="13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34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transaction price related to consideration received and accounts receivable has been allocated to each of the following performance obligations under the Europe Agreement with Astellas, along with any associated deferred revenue as follows (in thousands):</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jc w:val="center"/>
              <w:ind w:right="240"/>
              <w:spacing w:after="0"/>
              <w:rPr>
                <w:sz w:val="20"/>
                <w:szCs w:val="20"/>
                <w:color w:val="auto"/>
              </w:rPr>
            </w:pPr>
            <w:r>
              <w:rPr>
                <w:rFonts w:ascii="Arial" w:cs="Arial" w:eastAsia="Arial" w:hAnsi="Arial"/>
                <w:sz w:val="14"/>
                <w:szCs w:val="14"/>
                <w:b w:val="1"/>
                <w:bCs w:val="1"/>
                <w:color w:val="auto"/>
                <w:w w:val="95"/>
              </w:rPr>
              <w:t>Cumulative</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vMerge w:val="restart"/>
          </w:tcPr>
          <w:p>
            <w:pPr>
              <w:jc w:val="center"/>
              <w:ind w:right="259"/>
              <w:spacing w:after="0"/>
              <w:rPr>
                <w:sz w:val="20"/>
                <w:szCs w:val="20"/>
                <w:color w:val="auto"/>
              </w:rPr>
            </w:pPr>
            <w:r>
              <w:rPr>
                <w:rFonts w:ascii="Arial" w:cs="Arial" w:eastAsia="Arial" w:hAnsi="Arial"/>
                <w:sz w:val="14"/>
                <w:szCs w:val="14"/>
                <w:b w:val="1"/>
                <w:bCs w:val="1"/>
                <w:color w:val="auto"/>
                <w:w w:val="93"/>
              </w:rPr>
              <w:t>Deferred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Revenue</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Europe Agreement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Through</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0"/>
              </w:rPr>
              <w:t>June 30, 2022</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2"/>
              </w:rPr>
              <w:t>June 30, 2022</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2"/>
              </w:rPr>
              <w:t>June 30,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License</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618,975</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shd w:val="clear" w:color="auto" w:fill="CFF0FC"/>
          </w:tcPr>
          <w:p>
            <w:pPr>
              <w:ind w:left="140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618,975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Borders>
              <w:bottom w:val="single" w:sz="8" w:color="CFF0FC"/>
            </w:tcBorders>
          </w:tcPr>
          <w:p>
            <w:pPr>
              <w:spacing w:after="0" w:line="202" w:lineRule="exact"/>
              <w:rPr>
                <w:sz w:val="20"/>
                <w:szCs w:val="20"/>
                <w:color w:val="auto"/>
              </w:rPr>
            </w:pPr>
            <w:r>
              <w:rPr>
                <w:rFonts w:ascii="Arial" w:cs="Arial" w:eastAsia="Arial" w:hAnsi="Arial"/>
                <w:sz w:val="18"/>
                <w:szCs w:val="18"/>
                <w:color w:val="auto"/>
              </w:rPr>
              <w:t>Development revenue</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277,536</w:t>
            </w:r>
          </w:p>
        </w:tc>
        <w:tc>
          <w:tcPr>
            <w:tcW w:w="24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ind w:left="140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277,536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license and development revenue</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896,511</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FF0FC"/>
          </w:tcPr>
          <w:p>
            <w:pPr>
              <w:ind w:left="140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896,511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-25400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-162560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-25400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-162560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There was no revenue resulting from changes to estimated variable consideration in the current period relating to performance obligations satisfied or partially satisfied in previous periods for three months ended June 30, 2022 under the Europe Agreement. The remainder of the transaction price related to the Europe Agreement includes $7.6 million of variable consideration from estimated future co-development billing and is estimated to be recognized over the remaining development service period.</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 xml:space="preserve">Under the Europe Agreement, Astellas has an option to purchase roxadustat bulk drug product in support of commercial supplies. During the first quarter of 2021, the Company entered into an EU Supply Agreement under the Europe Agreement with Astellas (“EU Supply Agreement”) to define general forecast, order, supply and payment terms for Astellas to purchase roxadustat bulk drug product from FibroGen in support of commercial supplies. The related drug product revenue, as described under </w:t>
      </w:r>
      <w:r>
        <w:rPr>
          <w:rFonts w:ascii="Arial" w:cs="Arial" w:eastAsia="Arial" w:hAnsi="Arial"/>
          <w:sz w:val="17"/>
          <w:szCs w:val="17"/>
          <w:i w:val="1"/>
          <w:iCs w:val="1"/>
          <w:color w:val="auto"/>
        </w:rPr>
        <w:t>Drug Product Revenue</w:t>
      </w:r>
      <w:r>
        <w:rPr>
          <w:rFonts w:ascii="Arial" w:cs="Arial" w:eastAsia="Arial" w:hAnsi="Arial"/>
          <w:sz w:val="17"/>
          <w:szCs w:val="17"/>
          <w:color w:val="auto"/>
        </w:rPr>
        <w:t xml:space="preserve"> section below, was $1.1 million for the three and six months ended June 30, 2022, respectively. There was no related drug product revenue for the three and six months ended June 30,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U.S./Rest of World (“RoW”) Agreement</w:t>
      </w:r>
    </w:p>
    <w:p>
      <w:pPr>
        <w:spacing w:after="0" w:line="10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Effective July 30, 2013, the Company entered into a collaboration agreement with AstraZeneca AB ("AstraZeneca") for the development and commercialization of roxadustat for the treatment of anemia in the U.S.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agreed to pay upfront, non-contingent, non-refundable and time-based payments, and potential milestone payments, totaling $1.2 billion. AstraZeneca will pay the Company tiered royalty payments on AstraZeneca’s future net sales (as defined in the agreement) of roxadustat in the low 20% range. In addition, the Company will receive a transfer price for shipment of commercial product based on a percentage of AstraZeneca’s net sales (as defined in the agreement) in the low- to mid-single digit range.</w:t>
      </w:r>
    </w:p>
    <w:p>
      <w:pPr>
        <w:spacing w:after="0" w:line="13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aggregate amount of consideration received under the U.S./RoW Agreement through June 30, 2022 totaled $439.0 million, excluding drug product revenue that is discussed separately below. While FibroGen and AstraZeneca continue to develop roxadustat in the U.S. for the treatment of anemia in patients with myelodysplastic syndromes, the Company has not been able to agree on a path forward for AstraZeneca to fund further roxadustat development for CKD anemia in the U.S. Therefore, the Company does not expect to receive most or all of the remaining U.S./RoW Agreement milestones from AstraZeneca.</w:t>
      </w:r>
    </w:p>
    <w:p>
      <w:pPr>
        <w:spacing w:after="0" w:line="189"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 xml:space="preserve">In 2020, the Company entered into Master Supply Agreement under the U.S./RoW Agreement with AstraZeneca (“Master Supply Agreement”) to define general forecast, order, supply and payment terms for AstraZeneca to purchase roxadustat bulk drug product from FibroGen in support of commercial supplies. There was no related drug product revenue for the three and six months ended June 30, 2022, and the related drug product revenue was $(6.7) million and $(2.2) million for the three and six months ended June 30, 2021, respectively. See </w:t>
      </w:r>
      <w:r>
        <w:rPr>
          <w:rFonts w:ascii="Arial" w:cs="Arial" w:eastAsia="Arial" w:hAnsi="Arial"/>
          <w:sz w:val="16"/>
          <w:szCs w:val="16"/>
          <w:i w:val="1"/>
          <w:iCs w:val="1"/>
          <w:color w:val="auto"/>
        </w:rPr>
        <w:t>Drug Product Revenue</w:t>
      </w:r>
      <w:r>
        <w:rPr>
          <w:rFonts w:ascii="Arial" w:cs="Arial" w:eastAsia="Arial" w:hAnsi="Arial"/>
          <w:sz w:val="16"/>
          <w:szCs w:val="16"/>
          <w:color w:val="auto"/>
        </w:rPr>
        <w:t xml:space="preserve"> section below.</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04"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Effective July 30, 2013, the Company (through its subsidiaries affiliated with China) entered into the China Agreement (“China Agreement”). Under the terms of the China Agreement, AstraZeneca agreed to pay upfront consideration and potential milestone payments, totaling $376.7 million. The China Agreement is structured as a 50/50 profit or loss share (as defined), which was amended under the China Amendment discussed below in 2020, and provides for joint development costs (including capital and equipment costs for construction of the manufacturing plant in China), to be shared equally during the development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such consideration received for milestone and upfront payments through June 30, 2022 totaled $77.2 million.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Amendment</w:t>
      </w:r>
    </w:p>
    <w:p>
      <w:pPr>
        <w:spacing w:after="0" w:line="104"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In July 2020, FibroGen China Anemia Holdings, Ltd., FibroGen (China) Medical Technology Development Co., Ltd. ("FibroGen Beijing"), and FibroGen International (Hong Kong) Limited (collectively “FibroGen China”) and AstraZeneca entered into the China Amendment, relating to the development and commercialization of roxadustat in China. Under the China Amendment, in September 2020, FibroGen Beijing and AstraZeneca completed the establishment of a jointly owned entity, Beijing Falikang Pharmaceutical Co., Ltd. ("Falikang"), which performs roxadustat distribution, as well as conducts sales and marketing through AstraZeneca.</w:t>
      </w:r>
    </w:p>
    <w:p>
      <w:pPr>
        <w:spacing w:after="0" w:line="189" w:lineRule="exact"/>
        <w:rPr>
          <w:sz w:val="20"/>
          <w:szCs w:val="20"/>
          <w:color w:val="auto"/>
        </w:rPr>
      </w:pPr>
    </w:p>
    <w:p>
      <w:pPr>
        <w:jc w:val="both"/>
        <w:ind w:right="300"/>
        <w:spacing w:after="0" w:line="270" w:lineRule="auto"/>
        <w:rPr>
          <w:sz w:val="20"/>
          <w:szCs w:val="20"/>
          <w:color w:val="auto"/>
        </w:rPr>
      </w:pPr>
      <w:r>
        <w:rPr>
          <w:rFonts w:ascii="Arial" w:cs="Arial" w:eastAsia="Arial" w:hAnsi="Arial"/>
          <w:sz w:val="17"/>
          <w:szCs w:val="17"/>
          <w:color w:val="auto"/>
        </w:rPr>
        <w:t>Since Falikang became fully operational in January 2021, substantially all direct roxadustat product sales to distributors in China are made by Falikang, while FibroGen Beijing continues to sell roxadustat product directly in one province in China. FibroGen Beijing manufactures and supplies commercial product to Falikang based on a gross transfer price, which is adjusted for the estimated profit share.</w:t>
      </w:r>
    </w:p>
    <w:p>
      <w:pPr>
        <w:spacing w:after="0" w:line="16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Amounts recognized as revenue under the U.S./RoW Agreement and China Agreement with AstraZeneca were as follows for the three and six months ended June 30, 2022 and 2021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Agreement</w:t>
            </w:r>
          </w:p>
        </w:tc>
        <w:tc>
          <w:tcPr>
            <w:tcW w:w="160" w:type="dxa"/>
            <w:vAlign w:val="bottom"/>
          </w:tcPr>
          <w:p>
            <w:pPr>
              <w:spacing w:after="0"/>
              <w:rPr>
                <w:sz w:val="14"/>
                <w:szCs w:val="14"/>
                <w:color w:val="auto"/>
              </w:rPr>
            </w:pPr>
          </w:p>
        </w:tc>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300" w:type="dxa"/>
            <w:vAlign w:val="bottom"/>
          </w:tcPr>
          <w:p>
            <w:pPr>
              <w:spacing w:after="0"/>
              <w:rPr>
                <w:sz w:val="14"/>
                <w:szCs w:val="14"/>
                <w:color w:val="auto"/>
              </w:rPr>
            </w:pPr>
          </w:p>
        </w:tc>
        <w:tc>
          <w:tcPr>
            <w:tcW w:w="1000" w:type="dxa"/>
            <w:vAlign w:val="bottom"/>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55"/>
        </w:trPr>
        <w:tc>
          <w:tcPr>
            <w:tcW w:w="1300" w:type="dxa"/>
            <w:vAlign w:val="bottom"/>
            <w:tcBorders>
              <w:top w:val="single" w:sz="8" w:color="auto"/>
            </w:tcBorders>
            <w:shd w:val="clear" w:color="auto" w:fill="CFF0FC"/>
          </w:tcPr>
          <w:p>
            <w:pPr>
              <w:ind w:left="20"/>
              <w:spacing w:after="0" w:line="156" w:lineRule="exact"/>
              <w:rPr>
                <w:sz w:val="20"/>
                <w:szCs w:val="20"/>
                <w:color w:val="auto"/>
              </w:rPr>
            </w:pPr>
            <w:r>
              <w:rPr>
                <w:rFonts w:ascii="Arial" w:cs="Arial" w:eastAsia="Arial" w:hAnsi="Arial"/>
                <w:sz w:val="18"/>
                <w:szCs w:val="18"/>
                <w:color w:val="auto"/>
              </w:rPr>
              <w:t>U.S. / RoW</w:t>
            </w:r>
          </w:p>
        </w:tc>
        <w:tc>
          <w:tcPr>
            <w:tcW w:w="160" w:type="dxa"/>
            <w:vAlign w:val="bottom"/>
            <w:shd w:val="clear" w:color="auto" w:fill="CFF0FC"/>
          </w:tcPr>
          <w:p>
            <w:pPr>
              <w:spacing w:after="0"/>
              <w:rPr>
                <w:sz w:val="13"/>
                <w:szCs w:val="13"/>
                <w:color w:val="auto"/>
              </w:rPr>
            </w:pPr>
          </w:p>
        </w:tc>
        <w:tc>
          <w:tcPr>
            <w:tcW w:w="3400" w:type="dxa"/>
            <w:vAlign w:val="bottom"/>
            <w:tcBorders>
              <w:top w:val="single" w:sz="8" w:color="auto"/>
            </w:tcBorders>
            <w:shd w:val="clear" w:color="auto" w:fill="CFF0FC"/>
          </w:tcPr>
          <w:p>
            <w:pPr>
              <w:ind w:left="20"/>
              <w:spacing w:after="0" w:line="156" w:lineRule="exact"/>
              <w:rPr>
                <w:sz w:val="20"/>
                <w:szCs w:val="20"/>
                <w:color w:val="auto"/>
              </w:rPr>
            </w:pPr>
            <w:r>
              <w:rPr>
                <w:rFonts w:ascii="Arial" w:cs="Arial" w:eastAsia="Arial" w:hAnsi="Arial"/>
                <w:sz w:val="18"/>
                <w:szCs w:val="18"/>
                <w:color w:val="auto"/>
              </w:rPr>
              <w:t>License revenue</w:t>
            </w:r>
          </w:p>
        </w:tc>
        <w:tc>
          <w:tcPr>
            <w:tcW w:w="18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ind w:right="110"/>
              <w:spacing w:after="0" w:line="15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130"/>
              <w:spacing w:after="0" w:line="15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ind w:right="110"/>
              <w:spacing w:after="0" w:line="15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ind w:right="110"/>
              <w:spacing w:after="0" w:line="15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3"/>
                <w:szCs w:val="13"/>
                <w:color w:val="auto"/>
              </w:rPr>
            </w:pPr>
          </w:p>
        </w:tc>
      </w:tr>
      <w:tr>
        <w:trPr>
          <w:trHeight w:val="216"/>
        </w:trPr>
        <w:tc>
          <w:tcPr>
            <w:tcW w:w="1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and China</w:t>
            </w:r>
          </w:p>
        </w:tc>
        <w:tc>
          <w:tcPr>
            <w:tcW w:w="160" w:type="dxa"/>
            <w:vAlign w:val="bottom"/>
            <w:shd w:val="clear" w:color="auto" w:fill="CFF0FC"/>
          </w:tcPr>
          <w:p>
            <w:pPr>
              <w:spacing w:after="0"/>
              <w:rPr>
                <w:sz w:val="18"/>
                <w:szCs w:val="18"/>
                <w:color w:val="auto"/>
              </w:rPr>
            </w:pPr>
          </w:p>
        </w:tc>
        <w:tc>
          <w:tcPr>
            <w:tcW w:w="3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Development revenue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3,352</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16,993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9,171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27,969</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 U.S./RoW Agreement and China Agreement with AstraZeneca, along with any associated deferred revenue as follows (in thousands):</w:t>
      </w:r>
    </w:p>
    <w:p>
      <w:pPr>
        <w:spacing w:after="0" w:line="10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jc w:val="center"/>
              <w:ind w:right="219"/>
              <w:spacing w:after="0"/>
              <w:rPr>
                <w:sz w:val="20"/>
                <w:szCs w:val="20"/>
                <w:color w:val="auto"/>
              </w:rPr>
            </w:pPr>
            <w:r>
              <w:rPr>
                <w:rFonts w:ascii="Arial" w:cs="Arial" w:eastAsia="Arial" w:hAnsi="Arial"/>
                <w:sz w:val="14"/>
                <w:szCs w:val="14"/>
                <w:b w:val="1"/>
                <w:bCs w:val="1"/>
                <w:color w:val="auto"/>
                <w:w w:val="95"/>
              </w:rPr>
              <w:t>Cumulative</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vMerge w:val="restart"/>
          </w:tcPr>
          <w:p>
            <w:pPr>
              <w:jc w:val="center"/>
              <w:ind w:right="218"/>
              <w:spacing w:after="0"/>
              <w:rPr>
                <w:sz w:val="20"/>
                <w:szCs w:val="20"/>
                <w:color w:val="auto"/>
              </w:rPr>
            </w:pPr>
            <w:r>
              <w:rPr>
                <w:rFonts w:ascii="Arial" w:cs="Arial" w:eastAsia="Arial" w:hAnsi="Arial"/>
                <w:sz w:val="14"/>
                <w:szCs w:val="14"/>
                <w:b w:val="1"/>
                <w:bCs w:val="1"/>
                <w:color w:val="auto"/>
                <w:w w:val="97"/>
              </w:rPr>
              <w:t>Deferred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jc w:val="center"/>
              <w:ind w:right="219"/>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89"/>
              </w:rPr>
              <w:t>Revenue</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U.S. / RoW and China Agreements</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5"/>
              </w:rPr>
              <w:t>Through</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Revenue at</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8"/>
              </w:rPr>
              <w:t>Through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2"/>
              </w:rPr>
              <w:t>June 30, 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2"/>
              </w:rPr>
              <w:t>June 30, 2022</w:t>
            </w:r>
          </w:p>
        </w:tc>
        <w:tc>
          <w:tcPr>
            <w:tcW w:w="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2"/>
              </w:rPr>
              <w:t>June 30,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License</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341,844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341,844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line="162" w:lineRule="exact"/>
              <w:rPr>
                <w:sz w:val="20"/>
                <w:szCs w:val="20"/>
                <w:color w:val="auto"/>
              </w:rPr>
            </w:pPr>
            <w:r>
              <w:rPr>
                <w:rFonts w:ascii="Arial" w:cs="Arial" w:eastAsia="Arial" w:hAnsi="Arial"/>
                <w:sz w:val="18"/>
                <w:szCs w:val="18"/>
                <w:color w:val="auto"/>
              </w:rPr>
              <w:t>Co-development, information sharing &amp;</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612,290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612,290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00"/>
              <w:spacing w:after="0"/>
              <w:rPr>
                <w:sz w:val="20"/>
                <w:szCs w:val="20"/>
                <w:color w:val="auto"/>
              </w:rPr>
            </w:pPr>
            <w:r>
              <w:rPr>
                <w:rFonts w:ascii="Arial" w:cs="Arial" w:eastAsia="Arial" w:hAnsi="Arial"/>
                <w:sz w:val="18"/>
                <w:szCs w:val="18"/>
                <w:color w:val="auto"/>
              </w:rPr>
              <w:t>committee services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China performance obligation *</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71,527</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170,514</w:t>
            </w:r>
          </w:p>
        </w:tc>
        <w:tc>
          <w:tcPr>
            <w:tcW w:w="3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242,041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Pr>
          <w:p>
            <w:pPr>
              <w:ind w:left="180"/>
              <w:spacing w:after="0" w:line="182" w:lineRule="exact"/>
              <w:rPr>
                <w:sz w:val="20"/>
                <w:szCs w:val="20"/>
                <w:color w:val="auto"/>
              </w:rPr>
            </w:pPr>
            <w:r>
              <w:rPr>
                <w:rFonts w:ascii="Arial" w:cs="Arial" w:eastAsia="Arial" w:hAnsi="Arial"/>
                <w:sz w:val="18"/>
                <w:szCs w:val="18"/>
                <w:color w:val="auto"/>
              </w:rPr>
              <w:t>Total license and development revenue</w:t>
            </w:r>
          </w:p>
        </w:tc>
        <w:tc>
          <w:tcPr>
            <w:tcW w:w="46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182" w:lineRule="exact"/>
              <w:rPr>
                <w:sz w:val="20"/>
                <w:szCs w:val="20"/>
                <w:color w:val="auto"/>
              </w:rPr>
            </w:pPr>
            <w:r>
              <w:rPr>
                <w:rFonts w:ascii="Arial" w:cs="Arial" w:eastAsia="Arial" w:hAnsi="Arial"/>
                <w:sz w:val="18"/>
                <w:szCs w:val="18"/>
                <w:color w:val="auto"/>
              </w:rPr>
              <w:t>1,025,661</w:t>
            </w:r>
          </w:p>
        </w:tc>
        <w:tc>
          <w:tcPr>
            <w:tcW w:w="560" w:type="dxa"/>
            <w:vAlign w:val="bottom"/>
            <w:gridSpan w:val="2"/>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170,514</w:t>
            </w:r>
          </w:p>
        </w:tc>
        <w:tc>
          <w:tcPr>
            <w:tcW w:w="660" w:type="dxa"/>
            <w:vAlign w:val="bottom"/>
            <w:gridSpan w:val="2"/>
          </w:tcPr>
          <w:p>
            <w:pPr>
              <w:jc w:val="right"/>
              <w:ind w:right="110"/>
              <w:spacing w:after="0" w:line="183" w:lineRule="exact"/>
              <w:rPr>
                <w:sz w:val="20"/>
                <w:szCs w:val="20"/>
                <w:color w:val="auto"/>
              </w:rPr>
            </w:pPr>
            <w:r>
              <w:rPr>
                <w:rFonts w:ascii="Arial" w:cs="Arial" w:eastAsia="Arial" w:hAnsi="Arial"/>
                <w:sz w:val="13"/>
                <w:szCs w:val="13"/>
                <w:color w:val="auto"/>
              </w:rPr>
              <w:t xml:space="preserve">** </w:t>
            </w:r>
            <w:r>
              <w:rPr>
                <w:rFonts w:ascii="Arial" w:cs="Arial" w:eastAsia="Arial" w:hAnsi="Arial"/>
                <w:sz w:val="21"/>
                <w:szCs w:val="21"/>
                <w:color w:val="auto"/>
                <w:vertAlign w:val="superscript"/>
              </w:rPr>
              <w:t>$</w:t>
            </w:r>
          </w:p>
        </w:tc>
        <w:tc>
          <w:tcPr>
            <w:tcW w:w="1540" w:type="dxa"/>
            <w:vAlign w:val="bottom"/>
          </w:tcPr>
          <w:p>
            <w:pPr>
              <w:jc w:val="right"/>
              <w:spacing w:after="0" w:line="182" w:lineRule="exact"/>
              <w:rPr>
                <w:sz w:val="20"/>
                <w:szCs w:val="20"/>
                <w:color w:val="auto"/>
              </w:rPr>
            </w:pPr>
            <w:r>
              <w:rPr>
                <w:rFonts w:ascii="Arial" w:cs="Arial" w:eastAsia="Arial" w:hAnsi="Arial"/>
                <w:sz w:val="18"/>
                <w:szCs w:val="18"/>
                <w:color w:val="auto"/>
              </w:rPr>
              <w:t>1,196,175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-159385</wp:posOffset>
            </wp:positionV>
            <wp:extent cx="685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-159385</wp:posOffset>
            </wp:positionV>
            <wp:extent cx="5969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9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China performance obligation revenue is recognized as product revenue, as described under </w:t>
      </w:r>
      <w:r>
        <w:rPr>
          <w:rFonts w:ascii="Arial" w:cs="Arial" w:eastAsia="Arial" w:hAnsi="Arial"/>
          <w:sz w:val="18"/>
          <w:szCs w:val="18"/>
          <w:i w:val="1"/>
          <w:iCs w:val="1"/>
          <w:color w:val="auto"/>
        </w:rPr>
        <w:t>Product Revenue, Net</w:t>
      </w:r>
      <w:r>
        <w:rPr>
          <w:rFonts w:ascii="Arial" w:cs="Arial" w:eastAsia="Arial" w:hAnsi="Arial"/>
          <w:sz w:val="18"/>
          <w:szCs w:val="18"/>
          <w:color w:val="auto"/>
        </w:rPr>
        <w:t xml:space="preserve">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9512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84" w:lineRule="exact"/>
        <w:rPr>
          <w:sz w:val="20"/>
          <w:szCs w:val="20"/>
          <w:color w:val="auto"/>
        </w:rPr>
      </w:pPr>
    </w:p>
    <w:p>
      <w:pPr>
        <w:ind w:left="380" w:right="40" w:hanging="372"/>
        <w:spacing w:after="0" w:line="294" w:lineRule="auto"/>
        <w:tabs>
          <w:tab w:leader="none" w:pos="321"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Contract assets and liabilities related to rights and obligations in the same contract are recorded net on the consolidated balance sheets. As of June 30, 2022, deferred revenue included $157.3 million related to the U.S./RoW Agreement and China Agreement, which represents the net of $170.5 million of deferred revenue presented above and a $13.2 million unbilled co-development revenue under the China Amendment with AstraZeneca.</w:t>
      </w:r>
    </w:p>
    <w:p>
      <w:pPr>
        <w:spacing w:after="0" w:line="147"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There was no revenue resulting from changes to estimated variable consideration in the current period relating to performance obligations satisfied or partially satisfied in previous periods for the three months ended June 30, 2022 under the U.S./RoW Agreement. The remainder of the transaction price related to the U.S./RoW Agreement and China Agreement includes $18.0 million of variable consideration from estimated future co-development billing and is estimated to be recognized over the remaining development service period, except for amounts allocated to the China performance obligation. The amount allocated to the China performance obligation is expected to be recognized as the Company transfers control of the commercial drug product to Falikang.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380"/>
        <w:spacing w:after="0" w:line="324" w:lineRule="auto"/>
        <w:rPr>
          <w:sz w:val="20"/>
          <w:szCs w:val="20"/>
          <w:color w:val="auto"/>
        </w:rPr>
      </w:pPr>
      <w:r>
        <w:rPr>
          <w:rFonts w:ascii="Arial" w:cs="Arial" w:eastAsia="Arial" w:hAnsi="Arial"/>
          <w:sz w:val="16"/>
          <w:szCs w:val="16"/>
          <w:color w:val="auto"/>
        </w:rPr>
        <w:t xml:space="preserve">The net product revenue from the sales to Falikang was $19.7 million and $11.8 million for the three months ended June 30, 2022 and 2021, and $36.0 million and $22.2 million for the six months ended June 30, 2022 and 2021, respectively, as described under </w:t>
      </w:r>
      <w:r>
        <w:rPr>
          <w:rFonts w:ascii="Arial" w:cs="Arial" w:eastAsia="Arial" w:hAnsi="Arial"/>
          <w:sz w:val="16"/>
          <w:szCs w:val="16"/>
          <w:i w:val="1"/>
          <w:iCs w:val="1"/>
          <w:color w:val="auto"/>
        </w:rPr>
        <w:t>Product Revenue, Net</w:t>
      </w:r>
      <w:r>
        <w:rPr>
          <w:rFonts w:ascii="Arial" w:cs="Arial" w:eastAsia="Arial" w:hAnsi="Arial"/>
          <w:sz w:val="16"/>
          <w:szCs w:val="16"/>
          <w:color w:val="auto"/>
        </w:rPr>
        <w:t xml:space="preserve"> section below.</w:t>
      </w:r>
    </w:p>
    <w:p>
      <w:pPr>
        <w:spacing w:after="0" w:line="12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In addition to sales to Falikang, the net product revenue from direct sales distributors in China was $3.5 million and $1.6 million for the three months ended June 30, 2022 and 2021, and $6.2 million and $6.6 million for the six months ended June 30, 2022 and 2021, respectively, as described as direct sales under </w:t>
      </w:r>
      <w:r>
        <w:rPr>
          <w:rFonts w:ascii="Arial" w:cs="Arial" w:eastAsia="Arial" w:hAnsi="Arial"/>
          <w:sz w:val="18"/>
          <w:szCs w:val="18"/>
          <w:i w:val="1"/>
          <w:iCs w:val="1"/>
          <w:color w:val="auto"/>
        </w:rPr>
        <w:t xml:space="preserve">Product Revenue, Net </w:t>
      </w:r>
      <w:r>
        <w:rPr>
          <w:rFonts w:ascii="Arial" w:cs="Arial" w:eastAsia="Arial" w:hAnsi="Arial"/>
          <w:sz w:val="18"/>
          <w:szCs w:val="18"/>
          <w:color w:val="auto"/>
        </w:rPr>
        <w:t>section below.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 Net</w:t>
      </w:r>
    </w:p>
    <w:p>
      <w:pPr>
        <w:spacing w:after="0" w:line="108"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color w:val="auto"/>
        </w:rPr>
        <w:t>Product revenue, net from the sales of roxadustat commercial product in China was as follows for the three and six months ended June 30, 2022 and 2021 (in thousands):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5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2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Direct Sales:</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Gross revenue</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3,533</w:t>
            </w:r>
          </w:p>
        </w:tc>
        <w:tc>
          <w:tcPr>
            <w:tcW w:w="28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2,230</w:t>
            </w:r>
          </w:p>
        </w:tc>
        <w:tc>
          <w:tcPr>
            <w:tcW w:w="26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6,362</w:t>
            </w:r>
          </w:p>
        </w:tc>
        <w:tc>
          <w:tcPr>
            <w:tcW w:w="26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7,659</w:t>
            </w:r>
          </w:p>
        </w:tc>
        <w:tc>
          <w:tcPr>
            <w:tcW w:w="100" w:type="dxa"/>
            <w:vAlign w:val="bottom"/>
          </w:tcPr>
          <w:p>
            <w:pPr>
              <w:spacing w:after="0"/>
              <w:rPr>
                <w:sz w:val="17"/>
                <w:szCs w:val="17"/>
                <w:color w:val="auto"/>
              </w:rPr>
            </w:pPr>
          </w:p>
        </w:tc>
      </w:tr>
      <w:tr>
        <w:trPr>
          <w:trHeight w:val="203"/>
        </w:trPr>
        <w:tc>
          <w:tcPr>
            <w:tcW w:w="42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Discounts and rebates</w:t>
            </w: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(13 )</w:t>
            </w: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(618 )</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(187 )</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(1,181 )</w:t>
            </w:r>
          </w:p>
        </w:tc>
      </w:tr>
      <w:tr>
        <w:trPr>
          <w:trHeight w:val="203"/>
        </w:trPr>
        <w:tc>
          <w:tcPr>
            <w:tcW w:w="4200" w:type="dxa"/>
            <w:vAlign w:val="bottom"/>
          </w:tcPr>
          <w:p>
            <w:pPr>
              <w:ind w:left="100"/>
              <w:spacing w:after="0" w:line="202" w:lineRule="exact"/>
              <w:rPr>
                <w:sz w:val="20"/>
                <w:szCs w:val="20"/>
                <w:color w:val="auto"/>
              </w:rPr>
            </w:pPr>
            <w:r>
              <w:rPr>
                <w:rFonts w:ascii="Arial" w:cs="Arial" w:eastAsia="Arial" w:hAnsi="Arial"/>
                <w:sz w:val="18"/>
                <w:szCs w:val="18"/>
                <w:color w:val="auto"/>
              </w:rPr>
              <w:t>Sales returns</w:t>
            </w:r>
          </w:p>
        </w:tc>
        <w:tc>
          <w:tcPr>
            <w:tcW w:w="30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(1 )</w:t>
            </w:r>
          </w:p>
        </w:tc>
        <w:tc>
          <w:tcPr>
            <w:tcW w:w="30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(1 )</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100" w:type="dxa"/>
            <w:vAlign w:val="bottom"/>
          </w:tcPr>
          <w:p>
            <w:pPr>
              <w:spacing w:after="0"/>
              <w:rPr>
                <w:sz w:val="17"/>
                <w:szCs w:val="17"/>
                <w:color w:val="auto"/>
              </w:rPr>
            </w:pPr>
          </w:p>
        </w:tc>
      </w:tr>
      <w:tr>
        <w:trPr>
          <w:trHeight w:val="196"/>
        </w:trPr>
        <w:tc>
          <w:tcPr>
            <w:tcW w:w="420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Direct sales revenue, net</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3,519</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1,611</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6,178</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6,566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Sales to Falikang:</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Gross transaction price</w:t>
            </w: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28,281</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26,714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51,007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51,115</w:t>
            </w:r>
          </w:p>
        </w:tc>
        <w:tc>
          <w:tcPr>
            <w:tcW w:w="100" w:type="dxa"/>
            <w:vAlign w:val="bottom"/>
          </w:tcPr>
          <w:p>
            <w:pPr>
              <w:spacing w:after="0"/>
              <w:rPr>
                <w:sz w:val="17"/>
                <w:szCs w:val="17"/>
                <w:color w:val="auto"/>
              </w:rPr>
            </w:pPr>
          </w:p>
        </w:tc>
      </w:tr>
      <w:tr>
        <w:trPr>
          <w:trHeight w:val="203"/>
        </w:trPr>
        <w:tc>
          <w:tcPr>
            <w:tcW w:w="42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Profit share</w:t>
            </w: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(10,065 )</w:t>
            </w: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(9,573 )</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(18,914 )</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(19,636 )</w:t>
            </w:r>
          </w:p>
        </w:tc>
      </w:tr>
      <w:tr>
        <w:trPr>
          <w:trHeight w:val="196"/>
        </w:trPr>
        <w:tc>
          <w:tcPr>
            <w:tcW w:w="4200" w:type="dxa"/>
            <w:vAlign w:val="bottom"/>
            <w:tcBorders>
              <w:top w:val="single" w:sz="8" w:color="CFF0FC"/>
            </w:tcBorders>
          </w:tcPr>
          <w:p>
            <w:pPr>
              <w:ind w:left="180"/>
              <w:spacing w:after="0" w:line="196" w:lineRule="exact"/>
              <w:rPr>
                <w:sz w:val="20"/>
                <w:szCs w:val="20"/>
                <w:color w:val="auto"/>
              </w:rPr>
            </w:pPr>
            <w:r>
              <w:rPr>
                <w:rFonts w:ascii="Arial" w:cs="Arial" w:eastAsia="Arial" w:hAnsi="Arial"/>
                <w:sz w:val="18"/>
                <w:szCs w:val="18"/>
                <w:color w:val="auto"/>
              </w:rPr>
              <w:t>Net transaction price</w:t>
            </w: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18,216</w:t>
            </w: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17,141</w:t>
            </w: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32,093</w:t>
            </w: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31,479</w:t>
            </w:r>
          </w:p>
        </w:tc>
        <w:tc>
          <w:tcPr>
            <w:tcW w:w="100" w:type="dxa"/>
            <w:vAlign w:val="bottom"/>
            <w:tcBorders>
              <w:top w:val="single" w:sz="8" w:color="CFF0FC"/>
            </w:tcBorders>
          </w:tcPr>
          <w:p>
            <w:pPr>
              <w:spacing w:after="0"/>
              <w:rPr>
                <w:sz w:val="17"/>
                <w:szCs w:val="17"/>
                <w:color w:val="auto"/>
              </w:rPr>
            </w:pPr>
          </w:p>
        </w:tc>
      </w:tr>
      <w:tr>
        <w:trPr>
          <w:trHeight w:val="203"/>
        </w:trPr>
        <w:tc>
          <w:tcPr>
            <w:tcW w:w="42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Decrease (increase) in deferred revenue</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1,521</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(5,381 )</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3,866</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(9,312 )</w:t>
            </w:r>
          </w:p>
        </w:tc>
      </w:tr>
      <w:tr>
        <w:trPr>
          <w:trHeight w:val="196"/>
        </w:trPr>
        <w:tc>
          <w:tcPr>
            <w:tcW w:w="4200" w:type="dxa"/>
            <w:vAlign w:val="bottom"/>
            <w:tcBorders>
              <w:top w:val="single" w:sz="8" w:color="CFF0FC"/>
            </w:tcBorders>
          </w:tcPr>
          <w:p>
            <w:pPr>
              <w:ind w:left="360"/>
              <w:spacing w:after="0" w:line="196" w:lineRule="exact"/>
              <w:rPr>
                <w:sz w:val="20"/>
                <w:szCs w:val="20"/>
                <w:color w:val="auto"/>
              </w:rPr>
            </w:pPr>
            <w:r>
              <w:rPr>
                <w:rFonts w:ascii="Arial" w:cs="Arial" w:eastAsia="Arial" w:hAnsi="Arial"/>
                <w:sz w:val="18"/>
                <w:szCs w:val="18"/>
                <w:color w:val="auto"/>
              </w:rPr>
              <w:t>Sales to Falikang revenue, net</w:t>
            </w: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19,737</w:t>
            </w: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11,760</w:t>
            </w: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35,959</w:t>
            </w: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22,167</w:t>
            </w:r>
          </w:p>
        </w:tc>
        <w:tc>
          <w:tcPr>
            <w:tcW w:w="100" w:type="dxa"/>
            <w:vAlign w:val="bottom"/>
            <w:tcBorders>
              <w:top w:val="single" w:sz="8" w:color="CFF0FC"/>
            </w:tcBorders>
          </w:tcPr>
          <w:p>
            <w:pPr>
              <w:spacing w:after="0"/>
              <w:rPr>
                <w:sz w:val="17"/>
                <w:szCs w:val="17"/>
                <w:color w:val="auto"/>
              </w:rPr>
            </w:pPr>
          </w:p>
        </w:tc>
      </w:tr>
      <w:tr>
        <w:trPr>
          <w:trHeight w:val="236"/>
        </w:trPr>
        <w:tc>
          <w:tcPr>
            <w:tcW w:w="4200" w:type="dxa"/>
            <w:vAlign w:val="bottom"/>
            <w:tcBorders>
              <w:bottom w:val="single" w:sz="8" w:color="CFF0FC"/>
            </w:tcBorders>
            <w:shd w:val="clear" w:color="auto" w:fill="CFF0FC"/>
          </w:tcPr>
          <w:p>
            <w:pPr>
              <w:ind w:left="540"/>
              <w:spacing w:after="0" w:line="182" w:lineRule="exact"/>
              <w:rPr>
                <w:sz w:val="20"/>
                <w:szCs w:val="20"/>
                <w:color w:val="auto"/>
              </w:rPr>
            </w:pPr>
            <w:r>
              <w:rPr>
                <w:rFonts w:ascii="Arial" w:cs="Arial" w:eastAsia="Arial" w:hAnsi="Arial"/>
                <w:sz w:val="18"/>
                <w:szCs w:val="18"/>
                <w:color w:val="auto"/>
              </w:rPr>
              <w:t>Total product revenue, net</w:t>
            </w:r>
          </w:p>
        </w:tc>
        <w:tc>
          <w:tcPr>
            <w:tcW w:w="30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23,256</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13,371</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42,137</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28,733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-1085215</wp:posOffset>
            </wp:positionV>
            <wp:extent cx="6858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-1085215</wp:posOffset>
            </wp:positionV>
            <wp:extent cx="5969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-1085215</wp:posOffset>
            </wp:positionV>
            <wp:extent cx="6032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-1085215</wp:posOffset>
            </wp:positionV>
            <wp:extent cx="6032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-561975</wp:posOffset>
            </wp:positionV>
            <wp:extent cx="6858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-561975</wp:posOffset>
            </wp:positionV>
            <wp:extent cx="5969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-561975</wp:posOffset>
            </wp:positionV>
            <wp:extent cx="6032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-561975</wp:posOffset>
            </wp:positionV>
            <wp:extent cx="6032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-296545</wp:posOffset>
            </wp:positionV>
            <wp:extent cx="6858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-296545</wp:posOffset>
            </wp:positionV>
            <wp:extent cx="5969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-296545</wp:posOffset>
            </wp:positionV>
            <wp:extent cx="6032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-296545</wp:posOffset>
            </wp:positionV>
            <wp:extent cx="6032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-25400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596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59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-25400</wp:posOffset>
            </wp:positionV>
            <wp:extent cx="60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Sales</w:t>
      </w:r>
    </w:p>
    <w:p>
      <w:pPr>
        <w:spacing w:after="0" w:line="104"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color w:val="auto"/>
        </w:rPr>
        <w:t>Product revenue from direct roxadustat product sales to distributors in China is recognized in an amount that reflects the consideration that the Company expects to be entitled to in exchange for those products, net of various sales rebates and discounts. The total discounts and rebates were immaterial for the periods presented.</w:t>
      </w:r>
    </w:p>
    <w:p>
      <w:pPr>
        <w:spacing w:after="0" w:line="18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Due to the Company’s legal right to offset, at each balance sheet date, the rebates and discounts are presented as reductions to gross accounts receivable from the distributor, or as a current liability to the distributor to the extent that the total amount exceeds the gross accounts receivable or when the Company expects to settle the discount in cash. The Company’s legal right to offset is calculated at the individual distributor level. The following table includes a roll-forward of the contract liabilities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vMerge w:val="restart"/>
          </w:tcPr>
          <w:p>
            <w:pPr>
              <w:jc w:val="center"/>
              <w:ind w:right="590"/>
              <w:spacing w:after="0"/>
              <w:rPr>
                <w:sz w:val="20"/>
                <w:szCs w:val="20"/>
                <w:color w:val="auto"/>
              </w:rPr>
            </w:pPr>
            <w:r>
              <w:rPr>
                <w:rFonts w:ascii="Arial" w:cs="Arial" w:eastAsia="Arial" w:hAnsi="Arial"/>
                <w:sz w:val="14"/>
                <w:szCs w:val="14"/>
                <w:b w:val="1"/>
                <w:bCs w:val="1"/>
                <w:color w:val="auto"/>
                <w:w w:val="94"/>
              </w:rPr>
              <w:t>Balance at</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84"/>
              <w:spacing w:after="0"/>
              <w:rPr>
                <w:sz w:val="20"/>
                <w:szCs w:val="20"/>
                <w:color w:val="auto"/>
              </w:rPr>
            </w:pPr>
            <w:r>
              <w:rPr>
                <w:rFonts w:ascii="Arial" w:cs="Arial" w:eastAsia="Arial" w:hAnsi="Arial"/>
                <w:sz w:val="14"/>
                <w:szCs w:val="14"/>
                <w:b w:val="1"/>
                <w:bCs w:val="1"/>
                <w:color w:val="auto"/>
                <w:w w:val="97"/>
              </w:rPr>
              <w:t>Currency</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restart"/>
          </w:tcPr>
          <w:p>
            <w:pPr>
              <w:jc w:val="center"/>
              <w:ind w:right="261"/>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400" w:type="dxa"/>
            <w:vAlign w:val="bottom"/>
            <w:gridSpan w:val="3"/>
            <w:vMerge w:val="restart"/>
          </w:tcPr>
          <w:p>
            <w:pPr>
              <w:jc w:val="right"/>
              <w:ind w:right="630"/>
              <w:spacing w:after="0"/>
              <w:rPr>
                <w:sz w:val="20"/>
                <w:szCs w:val="20"/>
                <w:color w:val="auto"/>
              </w:rPr>
            </w:pPr>
            <w:r>
              <w:rPr>
                <w:rFonts w:ascii="Arial" w:cs="Arial" w:eastAsia="Arial" w:hAnsi="Arial"/>
                <w:sz w:val="14"/>
                <w:szCs w:val="14"/>
                <w:b w:val="1"/>
                <w:bCs w:val="1"/>
                <w:color w:val="auto"/>
              </w:rPr>
              <w:t>Additions</w:t>
            </w:r>
          </w:p>
        </w:tc>
        <w:tc>
          <w:tcPr>
            <w:tcW w:w="9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9"/>
              </w:rPr>
              <w:t>Deduction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40" w:type="dxa"/>
            <w:vAlign w:val="bottom"/>
          </w:tcPr>
          <w:p>
            <w:pPr>
              <w:spacing w:after="0"/>
              <w:rPr>
                <w:sz w:val="16"/>
                <w:szCs w:val="16"/>
                <w:color w:val="auto"/>
              </w:rPr>
            </w:pPr>
          </w:p>
        </w:tc>
        <w:tc>
          <w:tcPr>
            <w:tcW w:w="1800" w:type="dxa"/>
            <w:vAlign w:val="bottom"/>
            <w:gridSpan w:val="4"/>
          </w:tcPr>
          <w:p>
            <w:pPr>
              <w:jc w:val="center"/>
              <w:ind w:right="370"/>
              <w:spacing w:after="0"/>
              <w:rPr>
                <w:sz w:val="20"/>
                <w:szCs w:val="20"/>
                <w:color w:val="auto"/>
              </w:rPr>
            </w:pPr>
            <w:r>
              <w:rPr>
                <w:rFonts w:ascii="Arial" w:cs="Arial" w:eastAsia="Arial" w:hAnsi="Arial"/>
                <w:sz w:val="14"/>
                <w:szCs w:val="14"/>
                <w:b w:val="1"/>
                <w:bCs w:val="1"/>
                <w:color w:val="auto"/>
                <w:w w:val="93"/>
              </w:rPr>
              <w:t>December 31, 2021</w:t>
            </w:r>
          </w:p>
        </w:tc>
        <w:tc>
          <w:tcPr>
            <w:tcW w:w="1400" w:type="dxa"/>
            <w:vAlign w:val="bottom"/>
            <w:gridSpan w:val="3"/>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84"/>
              <w:spacing w:after="0"/>
              <w:rPr>
                <w:sz w:val="20"/>
                <w:szCs w:val="20"/>
                <w:color w:val="auto"/>
              </w:rPr>
            </w:pPr>
            <w:r>
              <w:rPr>
                <w:rFonts w:ascii="Arial" w:cs="Arial" w:eastAsia="Arial" w:hAnsi="Arial"/>
                <w:sz w:val="14"/>
                <w:szCs w:val="14"/>
                <w:b w:val="1"/>
                <w:bCs w:val="1"/>
                <w:color w:val="auto"/>
                <w:w w:val="96"/>
              </w:rPr>
              <w:t>and Other</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92"/>
              </w:rPr>
              <w:t>June 30, 2022</w:t>
            </w:r>
          </w:p>
        </w:tc>
        <w:tc>
          <w:tcPr>
            <w:tcW w:w="0" w:type="dxa"/>
            <w:vAlign w:val="bottom"/>
          </w:tcPr>
          <w:p>
            <w:pPr>
              <w:spacing w:after="0"/>
              <w:rPr>
                <w:sz w:val="1"/>
                <w:szCs w:val="1"/>
                <w:color w:val="auto"/>
              </w:rPr>
            </w:pPr>
          </w:p>
        </w:tc>
      </w:tr>
      <w:tr>
        <w:trPr>
          <w:trHeight w:val="236"/>
        </w:trPr>
        <w:tc>
          <w:tcPr>
            <w:tcW w:w="38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w w:val="96"/>
              </w:rPr>
              <w:t>Product revenue - Direct sales - contract liabilities</w:t>
            </w:r>
          </w:p>
        </w:tc>
        <w:tc>
          <w:tcPr>
            <w:tcW w:w="220" w:type="dxa"/>
            <w:vAlign w:val="bottom"/>
            <w:tcBorders>
              <w:top w:val="single" w:sz="8" w:color="auto"/>
              <w:bottom w:val="single" w:sz="8" w:color="auto"/>
            </w:tcBorders>
            <w:shd w:val="clear" w:color="auto" w:fill="CFF0FC"/>
          </w:tcPr>
          <w:p>
            <w:pPr>
              <w:jc w:val="right"/>
              <w:ind w:right="39"/>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(3,176</w:t>
            </w:r>
          </w:p>
        </w:tc>
        <w:tc>
          <w:tcPr>
            <w:tcW w:w="280" w:type="dxa"/>
            <w:vAlign w:val="bottom"/>
            <w:tcBorders>
              <w:bottom w:val="single" w:sz="8" w:color="CFF0FC"/>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(286</w:t>
            </w:r>
          </w:p>
        </w:tc>
        <w:tc>
          <w:tcPr>
            <w:tcW w:w="300" w:type="dxa"/>
            <w:vAlign w:val="bottom"/>
            <w:tcBorders>
              <w:bottom w:val="single" w:sz="8" w:color="CFF0FC"/>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1,903</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157</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(1,402</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-24765</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-7620</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above contract liabilities were included in accrued and other current liabilities in the condensed consolidated balance sheet. The rebates and discounts reflected as reductions to gross accounts receivable for direct sales were $0.7 million and $1.1 million as of June 30, 2022 and December 31, 2021,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to Falikang – China Performance Obligation</w:t>
      </w:r>
    </w:p>
    <w:p>
      <w:pPr>
        <w:spacing w:after="0" w:line="104" w:lineRule="exact"/>
        <w:rPr>
          <w:sz w:val="20"/>
          <w:szCs w:val="20"/>
          <w:color w:val="auto"/>
        </w:rPr>
      </w:pPr>
    </w:p>
    <w:p>
      <w:pPr>
        <w:jc w:val="both"/>
        <w:ind w:right="320"/>
        <w:spacing w:after="0" w:line="270" w:lineRule="auto"/>
        <w:rPr>
          <w:sz w:val="20"/>
          <w:szCs w:val="20"/>
          <w:color w:val="auto"/>
        </w:rPr>
      </w:pPr>
      <w:r>
        <w:rPr>
          <w:rFonts w:ascii="Arial" w:cs="Arial" w:eastAsia="Arial" w:hAnsi="Arial"/>
          <w:sz w:val="17"/>
          <w:szCs w:val="17"/>
          <w:color w:val="auto"/>
        </w:rPr>
        <w:t>Since Falikang became fully operational in January 2021, substantially all direct roxadustat product sales to distributors in China are made by Falikang. FibroGen Beijing manufactures and supplies commercial product to Falikang. The net transfer price for FibroGen Beijing’s product sales to Falikang is based on a gross transfer price, which is adjusted to account for the 50/50 profit share for the period.</w:t>
      </w:r>
    </w:p>
    <w:p>
      <w:pPr>
        <w:spacing w:after="0" w:line="16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roxadustat sales to Falikang marked the beginning of the Company’s China performance obligation under the Company’s agreements with AstraZeneca</w:t>
      </w:r>
      <w:r>
        <w:rPr>
          <w:rFonts w:ascii="Arial" w:cs="Arial" w:eastAsia="Arial" w:hAnsi="Arial"/>
          <w:sz w:val="17"/>
          <w:szCs w:val="17"/>
          <w:i w:val="1"/>
          <w:iCs w:val="1"/>
          <w:color w:val="auto"/>
        </w:rPr>
        <w:t>.</w:t>
      </w:r>
      <w:r>
        <w:rPr>
          <w:rFonts w:ascii="Arial" w:cs="Arial" w:eastAsia="Arial" w:hAnsi="Arial"/>
          <w:sz w:val="17"/>
          <w:szCs w:val="17"/>
          <w:color w:val="auto"/>
        </w:rPr>
        <w:t xml:space="preserve"> Product revenue is based on the transaction price of the China performance obligation. Revenue is recognized when control of the product is transferred to Falikang, in an amount that reflects the allocation of the transaction price to the performance obligation satisfied during the reporting period. Any net transaction price in excess of the revenue recognized is added to the deferred balance to date, and will be recognized over future periods as the performance obligation is satisfied. Following updates to its estimates, the Company recognized $1.5 million and $3.9 million from the previously deferred revenue of the China performance obligation during the three and six months ended June 30, 2022,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a roll-forward of the related deferred revenue that is considered as a contract liability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1"/>
              </w:rPr>
              <w:t>Balance at</w:t>
            </w: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Recognized as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104"/>
              <w:spacing w:after="0"/>
              <w:rPr>
                <w:sz w:val="20"/>
                <w:szCs w:val="20"/>
                <w:color w:val="auto"/>
              </w:rPr>
            </w:pPr>
            <w:r>
              <w:rPr>
                <w:rFonts w:ascii="Arial" w:cs="Arial" w:eastAsia="Arial" w:hAnsi="Arial"/>
                <w:sz w:val="14"/>
                <w:szCs w:val="14"/>
                <w:b w:val="1"/>
                <w:bCs w:val="1"/>
                <w:color w:val="auto"/>
                <w:w w:val="97"/>
              </w:rPr>
              <w:t>Currency</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0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Additions</w:t>
            </w:r>
          </w:p>
        </w:tc>
        <w:tc>
          <w:tcPr>
            <w:tcW w:w="28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20" w:type="dxa"/>
            <w:vAlign w:val="bottom"/>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6"/>
              </w:rPr>
              <w:t>and Other</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0"/>
              </w:rPr>
              <w:t>June 30,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2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Product revenue - AstraZeneca China</w:t>
            </w:r>
          </w:p>
        </w:tc>
        <w:tc>
          <w:tcPr>
            <w:tcW w:w="200" w:type="dxa"/>
            <w:vAlign w:val="bottom"/>
            <w:vMerge w:val="restart"/>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156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(171,516 )  $</w:t>
            </w:r>
          </w:p>
        </w:tc>
        <w:tc>
          <w:tcPr>
            <w:tcW w:w="13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(36,184 )</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35,959</w:t>
            </w:r>
          </w:p>
        </w:tc>
        <w:tc>
          <w:tcPr>
            <w:tcW w:w="4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1,227</w:t>
            </w:r>
          </w:p>
        </w:tc>
        <w:tc>
          <w:tcPr>
            <w:tcW w:w="4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(170,514 )</w:t>
            </w:r>
          </w:p>
        </w:tc>
        <w:tc>
          <w:tcPr>
            <w:tcW w:w="0" w:type="dxa"/>
            <w:vAlign w:val="bottom"/>
          </w:tcPr>
          <w:p>
            <w:pPr>
              <w:spacing w:after="0"/>
              <w:rPr>
                <w:sz w:val="1"/>
                <w:szCs w:val="1"/>
                <w:color w:val="auto"/>
              </w:rPr>
            </w:pPr>
          </w:p>
        </w:tc>
      </w:tr>
      <w:tr>
        <w:trPr>
          <w:trHeight w:val="195"/>
        </w:trPr>
        <w:tc>
          <w:tcPr>
            <w:tcW w:w="4020" w:type="dxa"/>
            <w:vAlign w:val="bottom"/>
            <w:shd w:val="clear" w:color="auto" w:fill="CFF0FC"/>
          </w:tcPr>
          <w:p>
            <w:pPr>
              <w:ind w:left="160"/>
              <w:spacing w:after="0" w:line="156" w:lineRule="exact"/>
              <w:rPr>
                <w:sz w:val="20"/>
                <w:szCs w:val="20"/>
                <w:color w:val="auto"/>
              </w:rPr>
            </w:pPr>
            <w:r>
              <w:rPr>
                <w:rFonts w:ascii="Arial" w:cs="Arial" w:eastAsia="Arial" w:hAnsi="Arial"/>
                <w:sz w:val="18"/>
                <w:szCs w:val="18"/>
                <w:color w:val="auto"/>
              </w:rPr>
              <w:t>performance obligation - deferred revenue</w:t>
            </w:r>
          </w:p>
        </w:tc>
        <w:tc>
          <w:tcPr>
            <w:tcW w:w="200" w:type="dxa"/>
            <w:vAlign w:val="bottom"/>
            <w:vMerge w:val="continue"/>
            <w:shd w:val="clear" w:color="auto" w:fill="CFF0FC"/>
          </w:tcPr>
          <w:p>
            <w:pPr>
              <w:spacing w:after="0"/>
              <w:rPr>
                <w:sz w:val="17"/>
                <w:szCs w:val="17"/>
                <w:color w:val="auto"/>
              </w:rPr>
            </w:pPr>
          </w:p>
        </w:tc>
        <w:tc>
          <w:tcPr>
            <w:tcW w:w="1560" w:type="dxa"/>
            <w:vAlign w:val="bottom"/>
            <w:gridSpan w:val="3"/>
            <w:vMerge w:val="continue"/>
            <w:shd w:val="clear" w:color="auto" w:fill="CFF0FC"/>
          </w:tcPr>
          <w:p>
            <w:pPr>
              <w:spacing w:after="0"/>
              <w:rPr>
                <w:sz w:val="17"/>
                <w:szCs w:val="17"/>
                <w:color w:val="auto"/>
              </w:rPr>
            </w:pPr>
          </w:p>
        </w:tc>
        <w:tc>
          <w:tcPr>
            <w:tcW w:w="1320" w:type="dxa"/>
            <w:vAlign w:val="bottom"/>
            <w:gridSpan w:val="2"/>
            <w:vMerge w:val="continue"/>
            <w:shd w:val="clear" w:color="auto" w:fill="CFF0FC"/>
          </w:tcPr>
          <w:p>
            <w:pPr>
              <w:spacing w:after="0"/>
              <w:rPr>
                <w:sz w:val="17"/>
                <w:szCs w:val="17"/>
                <w:color w:val="auto"/>
              </w:rPr>
            </w:pPr>
          </w:p>
        </w:tc>
        <w:tc>
          <w:tcPr>
            <w:tcW w:w="160" w:type="dxa"/>
            <w:vAlign w:val="bottom"/>
            <w:vMerge w:val="continue"/>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440" w:type="dxa"/>
            <w:vAlign w:val="bottom"/>
            <w:gridSpan w:val="2"/>
            <w:vMerge w:val="continue"/>
            <w:shd w:val="clear" w:color="auto" w:fill="CFF0FC"/>
          </w:tcPr>
          <w:p>
            <w:pPr>
              <w:spacing w:after="0"/>
              <w:rPr>
                <w:sz w:val="17"/>
                <w:szCs w:val="17"/>
                <w:color w:val="auto"/>
              </w:rPr>
            </w:pPr>
          </w:p>
        </w:tc>
        <w:tc>
          <w:tcPr>
            <w:tcW w:w="1100" w:type="dxa"/>
            <w:vAlign w:val="bottom"/>
            <w:vMerge w:val="continue"/>
            <w:shd w:val="clear" w:color="auto" w:fill="CFF0FC"/>
          </w:tcPr>
          <w:p>
            <w:pPr>
              <w:spacing w:after="0"/>
              <w:rPr>
                <w:sz w:val="17"/>
                <w:szCs w:val="17"/>
                <w:color w:val="auto"/>
              </w:rPr>
            </w:pPr>
          </w:p>
        </w:tc>
        <w:tc>
          <w:tcPr>
            <w:tcW w:w="400" w:type="dxa"/>
            <w:vAlign w:val="bottom"/>
            <w:gridSpan w:val="2"/>
            <w:vMerge w:val="continue"/>
            <w:shd w:val="clear" w:color="auto" w:fill="CFF0FC"/>
          </w:tcPr>
          <w:p>
            <w:pPr>
              <w:spacing w:after="0"/>
              <w:rPr>
                <w:sz w:val="17"/>
                <w:szCs w:val="17"/>
                <w:color w:val="auto"/>
              </w:rPr>
            </w:pPr>
          </w:p>
        </w:tc>
        <w:tc>
          <w:tcPr>
            <w:tcW w:w="12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-25400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-7620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-25400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Deferred revenue includes amounts allocated to the China performance obligation under the AstraZeneca arrangement as revenue recognition associated with this unit of accounting is tied to the commercial launch of the products within China and to when the control of the manufactured commercial products is transferred to AstraZeneca. As of June 30, 2022, approximately $14.9 million of the above deferred revenue related to the China unit of accounting was included in short-term deferred revenue, which represents the amount of deferred revenue associated with the China unit of accounting that is expected to be recognized within the next 12 months, associated with the commercial sales in China.</w:t>
      </w:r>
    </w:p>
    <w:p>
      <w:pPr>
        <w:spacing w:after="0" w:line="174"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auto"/>
        </w:rPr>
        <w:t>Due to the Company’s legal right to offset, at each balance sheet date, the rebates and discounts, mainly related to profit sharing, are presented as reductions to gross accounts receivable from Falikang, which was $6.5 million and $13.4 million as of June 30, 2022 and December 31, 2021,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Product Revenue</w:t>
      </w:r>
    </w:p>
    <w:p>
      <w:pPr>
        <w:spacing w:after="0" w:line="10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Drug product revenue from commercial-grade active pharmaceutical ingredient (“API”) or bulk drug product sales to Astellas and AstraZeneca was as follows for the three and six months ended June 30, 2022 and 2021 (in thousands):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25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370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3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Astellas - Japan Agreement</w:t>
            </w:r>
          </w:p>
        </w:tc>
        <w:tc>
          <w:tcPr>
            <w:tcW w:w="900" w:type="dxa"/>
            <w:vAlign w:val="bottom"/>
            <w:tcBorders>
              <w:top w:val="single" w:sz="8" w:color="auto"/>
            </w:tcBorders>
            <w:shd w:val="clear" w:color="auto" w:fill="CFF0FC"/>
          </w:tcPr>
          <w:p>
            <w:pPr>
              <w:jc w:val="right"/>
              <w:ind w:right="699"/>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w:t>
            </w:r>
          </w:p>
        </w:tc>
        <w:tc>
          <w:tcPr>
            <w:tcW w:w="32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650"/>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(1,974</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7,611</w:t>
            </w: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2,056</w:t>
            </w:r>
          </w:p>
        </w:tc>
        <w:tc>
          <w:tcPr>
            <w:tcW w:w="100" w:type="dxa"/>
            <w:vAlign w:val="bottom"/>
            <w:shd w:val="clear" w:color="auto" w:fill="CFF0FC"/>
          </w:tcPr>
          <w:p>
            <w:pPr>
              <w:spacing w:after="0"/>
              <w:rPr>
                <w:sz w:val="17"/>
                <w:szCs w:val="17"/>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Astellas - Europe Agreement</w:t>
            </w:r>
          </w:p>
        </w:tc>
        <w:tc>
          <w:tcPr>
            <w:tcW w:w="9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1,076</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1,076</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3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AstraZeneca - U.S. Agreement</w:t>
            </w: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w w:val="90"/>
              </w:rPr>
              <w:t>(6,674 )</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(2,224 )</w:t>
            </w:r>
          </w:p>
        </w:tc>
      </w:tr>
      <w:tr>
        <w:trPr>
          <w:trHeight w:val="20"/>
        </w:trPr>
        <w:tc>
          <w:tcPr>
            <w:tcW w:w="37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700" w:type="dxa"/>
            <w:vAlign w:val="bottom"/>
          </w:tcPr>
          <w:p>
            <w:pPr>
              <w:ind w:left="280"/>
              <w:spacing w:after="0" w:line="182" w:lineRule="exact"/>
              <w:rPr>
                <w:sz w:val="20"/>
                <w:szCs w:val="20"/>
                <w:color w:val="auto"/>
              </w:rPr>
            </w:pPr>
            <w:r>
              <w:rPr>
                <w:rFonts w:ascii="Arial" w:cs="Arial" w:eastAsia="Arial" w:hAnsi="Arial"/>
                <w:sz w:val="18"/>
                <w:szCs w:val="18"/>
                <w:color w:val="auto"/>
              </w:rPr>
              <w:t>Drug product revenue</w:t>
            </w:r>
          </w:p>
        </w:tc>
        <w:tc>
          <w:tcPr>
            <w:tcW w:w="900" w:type="dxa"/>
            <w:vAlign w:val="bottom"/>
          </w:tcPr>
          <w:p>
            <w:pPr>
              <w:jc w:val="right"/>
              <w:ind w:right="699"/>
              <w:spacing w:after="0" w:line="182"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w w:val="97"/>
              </w:rPr>
              <w:t>1,093</w:t>
            </w:r>
          </w:p>
        </w:tc>
        <w:tc>
          <w:tcPr>
            <w:tcW w:w="320" w:type="dxa"/>
            <w:vAlign w:val="bottom"/>
          </w:tcPr>
          <w:p>
            <w:pPr>
              <w:spacing w:after="0"/>
              <w:rPr>
                <w:sz w:val="17"/>
                <w:szCs w:val="17"/>
                <w:color w:val="auto"/>
              </w:rPr>
            </w:pPr>
          </w:p>
        </w:tc>
        <w:tc>
          <w:tcPr>
            <w:tcW w:w="860" w:type="dxa"/>
            <w:vAlign w:val="bottom"/>
          </w:tcPr>
          <w:p>
            <w:pPr>
              <w:jc w:val="right"/>
              <w:ind w:right="650"/>
              <w:spacing w:after="0" w:line="182" w:lineRule="exact"/>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21"/>
              <w:spacing w:after="0" w:line="182" w:lineRule="exact"/>
              <w:rPr>
                <w:sz w:val="20"/>
                <w:szCs w:val="20"/>
                <w:color w:val="auto"/>
              </w:rPr>
            </w:pPr>
            <w:r>
              <w:rPr>
                <w:rFonts w:ascii="Arial" w:cs="Arial" w:eastAsia="Arial" w:hAnsi="Arial"/>
                <w:sz w:val="18"/>
                <w:szCs w:val="18"/>
                <w:color w:val="auto"/>
                <w:w w:val="90"/>
              </w:rPr>
              <w:t>(8,648 )</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8,687</w:t>
            </w:r>
          </w:p>
        </w:tc>
        <w:tc>
          <w:tcPr>
            <w:tcW w:w="580" w:type="dxa"/>
            <w:vAlign w:val="bottom"/>
            <w:gridSpan w:val="2"/>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(168 )</w:t>
            </w:r>
          </w:p>
        </w:tc>
      </w:tr>
      <w:tr>
        <w:trPr>
          <w:trHeight w:val="20"/>
        </w:trPr>
        <w:tc>
          <w:tcPr>
            <w:tcW w:w="3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-159385</wp:posOffset>
            </wp:positionV>
            <wp:extent cx="6858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-159385</wp:posOffset>
            </wp:positionV>
            <wp:extent cx="6032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-159385</wp:posOffset>
            </wp:positionV>
            <wp:extent cx="5969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8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During the first quarter of 2022, the Company fulfilled a shipment obligation under the terms of Japan Amendment with Astellas, and recognized related drug product revenue of $9.8 million in the same period. In addition, the Company updated its estimate of variable consideration related to the API shipments fulfilled under the terms of Japan Amendment with Astellas, and accordingly recorded adjustments to the drug product revenue of $(2.2) million, $(2.0) million and $4.0 million for the first quarter of 2022, the second quarter of 2021 and the first quarter of 2021, respectively. Specifically, the change in estimated variable consideration was based on the API held by Astellas at period end, adjusted to reflect the changes in the estimated bulk product strength mix intended to be manufactured by Astellas, estimated cost to convert the API to bulk product tablets, and estimated yield from the manufacture of bulk product tablets, among others.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jc w:val="both"/>
        <w:ind w:right="100"/>
        <w:spacing w:after="0" w:line="279" w:lineRule="auto"/>
        <w:rPr>
          <w:sz w:val="20"/>
          <w:szCs w:val="20"/>
          <w:color w:val="auto"/>
        </w:rPr>
      </w:pPr>
      <w:r>
        <w:rPr>
          <w:rFonts w:ascii="Arial" w:cs="Arial" w:eastAsia="Arial" w:hAnsi="Arial"/>
          <w:sz w:val="16"/>
          <w:szCs w:val="16"/>
          <w:color w:val="auto"/>
        </w:rPr>
        <w:t>During the second quarter of 2022, the Company transferred bulk drug product for commercial purposes under the terms of the Europe Agreement and the EU Supply Agreement with Astellas, and recognized the related fully burdened manufacturing costs of $1.0 million as drug product revenue, and recorded $23.2 million as deferred revenue due to a high degree of uncertainty associated with the final consideration. In addition, the Company recognized royalty revenue of $0.1 million as drug product revenue from the deferred revenue under the Europe Agreement during the second quarter of 2022. The remainder of the deferred revenue will be recognized as and when uncertainty is resolved, based on the performance of roxadustat product sales in the territory.</w:t>
      </w:r>
    </w:p>
    <w:p>
      <w:pPr>
        <w:spacing w:after="0" w:line="15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During the first quarter of 2022, the Company billed and received $49.2 million from Astellas related to the annual transfer price true up for bulk drug product transferred for commercial purposes. This amount was recorded in deferred revenue and netted against an unbilled contract asset as of December 31, 2021. During the first and second quarter of 2022, the Company updated its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the Company reclassified $43.3 million from deferred revenue to accrued liabilities as of June 30, 2022, representing its best estimate that this amount will be paid in the first quarter of 2023.</w:t>
      </w:r>
    </w:p>
    <w:p>
      <w:pPr>
        <w:spacing w:after="0" w:line="191"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During the first quarter of 2022, the Company evaluated the current developments in the U.S. market, and updated its estimates of variable consideration associated with bulk drug product shipments to AstraZeneca in prior years as commercial supply. As a result, the Company reclassified $11.2 million from the related deferred revenue to accrued liabilities as of June 30, 2022.</w:t>
      </w:r>
    </w:p>
    <w:p>
      <w:pPr>
        <w:spacing w:after="0" w:line="18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includes a roll-forward of the above-mentioned deferred revenues that are considered as contract liabilities related to drug product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Reclassified to</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361"/>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Accrued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Recognized as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8"/>
              </w:rPr>
              <w:t>Liability /</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300" w:type="dxa"/>
            <w:vAlign w:val="bottom"/>
            <w:gridSpan w:val="3"/>
          </w:tcPr>
          <w:p>
            <w:pPr>
              <w:jc w:val="center"/>
              <w:ind w:right="26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100" w:type="dxa"/>
            <w:vAlign w:val="bottom"/>
            <w:gridSpan w:val="2"/>
            <w:vMerge w:val="restart"/>
          </w:tcPr>
          <w:p>
            <w:pPr>
              <w:jc w:val="right"/>
              <w:ind w:right="370"/>
              <w:spacing w:after="0"/>
              <w:rPr>
                <w:sz w:val="20"/>
                <w:szCs w:val="20"/>
                <w:color w:val="auto"/>
              </w:rPr>
            </w:pPr>
            <w:r>
              <w:rPr>
                <w:rFonts w:ascii="Arial" w:cs="Arial" w:eastAsia="Arial" w:hAnsi="Arial"/>
                <w:sz w:val="14"/>
                <w:szCs w:val="14"/>
                <w:b w:val="1"/>
                <w:bCs w:val="1"/>
                <w:color w:val="auto"/>
                <w:w w:val="95"/>
              </w:rPr>
              <w:t>Additions</w:t>
            </w: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0"/>
              </w:rPr>
              <w:t>Accounts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200"/>
              <w:spacing w:after="0"/>
              <w:rPr>
                <w:sz w:val="20"/>
                <w:szCs w:val="20"/>
                <w:color w:val="auto"/>
              </w:rPr>
            </w:pPr>
            <w:r>
              <w:rPr>
                <w:rFonts w:ascii="Arial" w:cs="Arial" w:eastAsia="Arial" w:hAnsi="Arial"/>
                <w:sz w:val="14"/>
                <w:szCs w:val="14"/>
                <w:b w:val="1"/>
                <w:bCs w:val="1"/>
                <w:color w:val="auto"/>
              </w:rPr>
              <w:t>Revenue</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Payable</w:t>
            </w:r>
          </w:p>
        </w:tc>
        <w:tc>
          <w:tcPr>
            <w:tcW w:w="26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June 30, 2022</w:t>
            </w: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Astellas - Japan Agreement</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(1,974</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(2,226</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ind w:left="88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4,200</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Astellas - Europe Agreement</w:t>
            </w:r>
          </w:p>
        </w:tc>
        <w:tc>
          <w:tcPr>
            <w:tcW w:w="140" w:type="dxa"/>
            <w:vAlign w:val="bottom"/>
          </w:tcPr>
          <w:p>
            <w:pPr>
              <w:spacing w:after="0"/>
              <w:rPr>
                <w:sz w:val="17"/>
                <w:szCs w:val="17"/>
                <w:color w:val="auto"/>
              </w:rPr>
            </w:pPr>
          </w:p>
        </w:tc>
        <w:tc>
          <w:tcPr>
            <w:tcW w:w="116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(25,891 )</w:t>
            </w:r>
          </w:p>
        </w:tc>
        <w:tc>
          <w:tcPr>
            <w:tcW w:w="160" w:type="dxa"/>
            <w:vAlign w:val="bottom"/>
          </w:tcPr>
          <w:p>
            <w:pPr>
              <w:spacing w:after="0"/>
              <w:rPr>
                <w:sz w:val="17"/>
                <w:szCs w:val="17"/>
                <w:color w:val="auto"/>
              </w:rPr>
            </w:pPr>
          </w:p>
        </w:tc>
        <w:tc>
          <w:tcPr>
            <w:tcW w:w="11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(72,409 )</w:t>
            </w:r>
          </w:p>
        </w:tc>
        <w:tc>
          <w:tcPr>
            <w:tcW w:w="140" w:type="dxa"/>
            <w:vAlign w:val="bottom"/>
          </w:tcPr>
          <w:p>
            <w:pPr>
              <w:spacing w:after="0"/>
              <w:rPr>
                <w:sz w:val="17"/>
                <w:szCs w:val="17"/>
                <w:color w:val="auto"/>
              </w:rPr>
            </w:pPr>
          </w:p>
        </w:tc>
        <w:tc>
          <w:tcPr>
            <w:tcW w:w="1080" w:type="dxa"/>
            <w:vAlign w:val="bottom"/>
          </w:tcPr>
          <w:p>
            <w:pPr>
              <w:ind w:left="880"/>
              <w:spacing w:after="0" w:line="202" w:lineRule="exact"/>
              <w:rPr>
                <w:sz w:val="20"/>
                <w:szCs w:val="20"/>
                <w:color w:val="auto"/>
              </w:rPr>
            </w:pPr>
            <w:r>
              <w:rPr>
                <w:rFonts w:ascii="Arial" w:cs="Arial" w:eastAsia="Arial" w:hAnsi="Arial"/>
                <w:sz w:val="18"/>
                <w:szCs w:val="18"/>
                <w:color w:val="auto"/>
                <w:w w:val="89"/>
              </w:rPr>
              <w:t>90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43,273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(54,937 )</w:t>
            </w: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AstraZeneca - U.S. Agreement</w:t>
            </w: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(11,171 )</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ind w:left="88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11,171</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tcPr>
          <w:p>
            <w:pPr>
              <w:ind w:left="120"/>
              <w:spacing w:after="0" w:line="182" w:lineRule="exact"/>
              <w:rPr>
                <w:sz w:val="20"/>
                <w:szCs w:val="20"/>
                <w:color w:val="auto"/>
              </w:rPr>
            </w:pPr>
            <w:r>
              <w:rPr>
                <w:rFonts w:ascii="Arial" w:cs="Arial" w:eastAsia="Arial" w:hAnsi="Arial"/>
                <w:sz w:val="18"/>
                <w:szCs w:val="18"/>
                <w:color w:val="auto"/>
              </w:rPr>
              <w:t>Drug product revenue - deferred revenue</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1"/>
              <w:spacing w:after="0" w:line="182" w:lineRule="exact"/>
              <w:rPr>
                <w:sz w:val="20"/>
                <w:szCs w:val="20"/>
                <w:color w:val="auto"/>
              </w:rPr>
            </w:pPr>
            <w:r>
              <w:rPr>
                <w:rFonts w:ascii="Arial" w:cs="Arial" w:eastAsia="Arial" w:hAnsi="Arial"/>
                <w:sz w:val="18"/>
                <w:szCs w:val="18"/>
                <w:color w:val="auto"/>
              </w:rPr>
              <w:t>(39,036 )</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(74,635 )</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ind w:left="880"/>
              <w:spacing w:after="0" w:line="182" w:lineRule="exact"/>
              <w:rPr>
                <w:sz w:val="20"/>
                <w:szCs w:val="20"/>
                <w:color w:val="auto"/>
              </w:rPr>
            </w:pPr>
            <w:r>
              <w:rPr>
                <w:rFonts w:ascii="Arial" w:cs="Arial" w:eastAsia="Arial" w:hAnsi="Arial"/>
                <w:sz w:val="18"/>
                <w:szCs w:val="18"/>
                <w:color w:val="auto"/>
                <w:w w:val="89"/>
              </w:rPr>
              <w:t>90</w:t>
            </w:r>
          </w:p>
        </w:tc>
        <w:tc>
          <w:tcPr>
            <w:tcW w:w="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58,644</w:t>
            </w:r>
          </w:p>
        </w:tc>
        <w:tc>
          <w:tcPr>
            <w:tcW w:w="4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(54,937 )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-159385</wp:posOffset>
            </wp:positionV>
            <wp:extent cx="7747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-159385</wp:posOffset>
            </wp:positionV>
            <wp:extent cx="6858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-159385</wp:posOffset>
            </wp:positionV>
            <wp:extent cx="685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-159385</wp:posOffset>
            </wp:positionV>
            <wp:extent cx="6858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Eluminex Agreement</w:t>
      </w:r>
    </w:p>
    <w:p>
      <w:pPr>
        <w:spacing w:after="0" w:line="10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In July 2021, FibroGen exclusively licensed to Eluminex Biosciences (Suzhou) Limited (“Eluminex”) global rights to its investigational biosynthetic cornea derived from recombinant human collagen Type III.</w:t>
      </w:r>
    </w:p>
    <w:p>
      <w:pPr>
        <w:spacing w:after="0" w:line="171" w:lineRule="exact"/>
        <w:rPr>
          <w:sz w:val="20"/>
          <w:szCs w:val="20"/>
          <w:color w:val="auto"/>
        </w:rPr>
      </w:pPr>
    </w:p>
    <w:p>
      <w:pPr>
        <w:ind w:right="320"/>
        <w:spacing w:after="0" w:line="255" w:lineRule="auto"/>
        <w:rPr>
          <w:sz w:val="20"/>
          <w:szCs w:val="20"/>
          <w:color w:val="auto"/>
        </w:rPr>
      </w:pPr>
      <w:r>
        <w:rPr>
          <w:rFonts w:ascii="Arial" w:cs="Arial" w:eastAsia="Arial" w:hAnsi="Arial"/>
          <w:sz w:val="17"/>
          <w:szCs w:val="17"/>
          <w:color w:val="auto"/>
        </w:rPr>
        <w:t>Under the terms of the agreement with Eluminex, as amended and restated on January 21, 2022, Eluminex made an $8.0 million upfront payment to FibroGen during the first quarter of 2022, which was recorded as an unbilled contract asset as of December 31, 2021 in the prepaid expenses and other current assets in the condensed consolidated balance sheets. In addition, FibroGen may receive up to a total of $64.0 million in future manufacturing, clinical, regulatory, and commercial milestone payments for the biosynthetic cornea program, as well as $36.0 million in commercial milestones for the first recombinant collagen III product that is not the biosynthetic cornea. FibroGen will also be eligible to receive mid single-digit to low double-digit royalties based upon worldwide net sales of cornea products, and low single-digit to mid single-digit royalties based upon worldwide net sales of other recombinant human collagen type III products that are not cornea products.</w:t>
      </w:r>
    </w:p>
    <w:p>
      <w:pPr>
        <w:spacing w:after="0" w:line="18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During the first quarter of 2022, FibroGen and Eluminex entered into a separate contract manufacturing agreement, under which the Company is responsible for supplying the cornea product at 110% of its product manufacturing costs until its manufacturing technology is fully transferred to Eluminex. The related contract manufacturing revenue was recorded as other revenue and included in development and other revenue in the condensed consolidated statement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Amounts recognized as revenue under the Eluminex were as follows for the three and six months ended June 30, 2022 and 2021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Agreement</w:t>
            </w:r>
          </w:p>
        </w:tc>
        <w:tc>
          <w:tcPr>
            <w:tcW w:w="160" w:type="dxa"/>
            <w:vAlign w:val="bottom"/>
          </w:tcPr>
          <w:p>
            <w:pPr>
              <w:spacing w:after="0"/>
              <w:rPr>
                <w:sz w:val="14"/>
                <w:szCs w:val="14"/>
                <w:color w:val="auto"/>
              </w:rPr>
            </w:pPr>
          </w:p>
        </w:tc>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900" w:type="dxa"/>
            <w:vAlign w:val="bottom"/>
          </w:tcPr>
          <w:p>
            <w:pPr>
              <w:ind w:left="500"/>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13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Eluminex</w:t>
            </w:r>
          </w:p>
        </w:tc>
        <w:tc>
          <w:tcPr>
            <w:tcW w:w="160" w:type="dxa"/>
            <w:vAlign w:val="bottom"/>
            <w:shd w:val="clear" w:color="auto" w:fill="CFF0FC"/>
          </w:tcPr>
          <w:p>
            <w:pPr>
              <w:spacing w:after="0"/>
              <w:rPr>
                <w:sz w:val="17"/>
                <w:szCs w:val="17"/>
                <w:color w:val="auto"/>
              </w:rPr>
            </w:pPr>
          </w:p>
        </w:tc>
        <w:tc>
          <w:tcPr>
            <w:tcW w:w="34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Other revenue - contract manufacturing</w:t>
            </w:r>
          </w:p>
        </w:tc>
        <w:tc>
          <w:tcPr>
            <w:tcW w:w="18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ind w:right="719"/>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280</w:t>
            </w:r>
          </w:p>
        </w:tc>
        <w:tc>
          <w:tcPr>
            <w:tcW w:w="34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6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1,042</w:t>
            </w: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635"/>
        </w:trPr>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ind w:left="50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1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4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47"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Falikang is a distribution entity jointly owned by AstraZeneca and FibroGen Beijing. FibroGen Beijing owns 51.1% of the outstanding shares of Falikang.</w:t>
      </w:r>
    </w:p>
    <w:p>
      <w:pPr>
        <w:spacing w:after="0" w:line="235"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 xml:space="preserve">Pursuant to the guidance under ASC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 the Company concluded that Falikang qualifies as a VIE. As Falikang is a distribution entity and AstraZeneca is the final decision maker for all the roxadustat commercialization activities, the Company lacks the power criterion, while AstraZeneca meets both the power and economic criteria under the ASC 810 to direct the activities of Falikang that most significantly impact its performance. Therefore, the Company is not the primary beneficiary of this VIE for accounting purposes. As a result, the Company accounts for its investment in Falikang under the equity method, and Falikang is not consolidated into the Company’s condensed consolidated financial statements. The Company records its total investments in Falikang as an equity method investment in an unconsolidated VIE in the condensed consolidated balance sheet. In addition, the Company recognizes its proportionate share of the reported profits or losses of Falikang as investment gain or loss in unconsolidated VIE in the condensed consolidated statement of operations and as an adjustment to its investment in Falikang in the condensed consolidated balance sheet. Falikang has not incurred material profit or loss to date. The Company may provide shareholder loans to Falikang to meet necessary financial obligations as part of its operations. To date, these loans have been immaterial.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Company’s equity method investment in Falikang was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Entity</w:t>
            </w:r>
          </w:p>
        </w:tc>
        <w:tc>
          <w:tcPr>
            <w:tcW w:w="220" w:type="dxa"/>
            <w:vAlign w:val="bottom"/>
          </w:tcPr>
          <w:p>
            <w:pPr>
              <w:spacing w:after="0"/>
              <w:rPr>
                <w:sz w:val="14"/>
                <w:szCs w:val="14"/>
                <w:color w:val="auto"/>
              </w:rPr>
            </w:pPr>
          </w:p>
        </w:tc>
        <w:tc>
          <w:tcPr>
            <w:tcW w:w="1660" w:type="dxa"/>
            <w:vAlign w:val="bottom"/>
            <w:gridSpan w:val="2"/>
          </w:tcPr>
          <w:p>
            <w:pPr>
              <w:ind w:left="300"/>
              <w:spacing w:after="0"/>
              <w:rPr>
                <w:sz w:val="20"/>
                <w:szCs w:val="20"/>
                <w:color w:val="auto"/>
              </w:rPr>
            </w:pPr>
            <w:r>
              <w:rPr>
                <w:rFonts w:ascii="Arial" w:cs="Arial" w:eastAsia="Arial" w:hAnsi="Arial"/>
                <w:sz w:val="14"/>
                <w:szCs w:val="14"/>
                <w:b w:val="1"/>
                <w:bCs w:val="1"/>
                <w:color w:val="auto"/>
              </w:rPr>
              <w:t>Ownership</w:t>
            </w:r>
          </w:p>
        </w:tc>
        <w:tc>
          <w:tcPr>
            <w:tcW w:w="1620" w:type="dxa"/>
            <w:vAlign w:val="bottom"/>
          </w:tcPr>
          <w:p>
            <w:pPr>
              <w:jc w:val="center"/>
              <w:ind w:left="342"/>
              <w:spacing w:after="0"/>
              <w:rPr>
                <w:sz w:val="20"/>
                <w:szCs w:val="20"/>
                <w:color w:val="auto"/>
              </w:rPr>
            </w:pPr>
            <w:r>
              <w:rPr>
                <w:rFonts w:ascii="Arial" w:cs="Arial" w:eastAsia="Arial" w:hAnsi="Arial"/>
                <w:sz w:val="14"/>
                <w:szCs w:val="14"/>
                <w:b w:val="1"/>
                <w:bCs w:val="1"/>
                <w:color w:val="auto"/>
                <w:w w:val="91"/>
              </w:rPr>
              <w:t>Balance at</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Share of Net Income</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center"/>
              <w:ind w:right="470"/>
              <w:spacing w:after="0"/>
              <w:rPr>
                <w:sz w:val="20"/>
                <w:szCs w:val="20"/>
                <w:color w:val="auto"/>
              </w:rPr>
            </w:pPr>
            <w:r>
              <w:rPr>
                <w:rFonts w:ascii="Arial" w:cs="Arial" w:eastAsia="Arial" w:hAnsi="Arial"/>
                <w:sz w:val="14"/>
                <w:szCs w:val="14"/>
                <w:b w:val="1"/>
                <w:bCs w:val="1"/>
                <w:color w:val="auto"/>
                <w:w w:val="94"/>
              </w:rPr>
              <w:t>Currency</w:t>
            </w:r>
          </w:p>
        </w:tc>
        <w:tc>
          <w:tcPr>
            <w:tcW w:w="340" w:type="dxa"/>
            <w:vAlign w:val="bottom"/>
          </w:tcPr>
          <w:p>
            <w:pPr>
              <w:spacing w:after="0"/>
              <w:rPr>
                <w:sz w:val="14"/>
                <w:szCs w:val="14"/>
                <w:color w:val="auto"/>
              </w:rPr>
            </w:pPr>
          </w:p>
        </w:tc>
        <w:tc>
          <w:tcPr>
            <w:tcW w:w="1620" w:type="dxa"/>
            <w:vAlign w:val="bottom"/>
          </w:tcPr>
          <w:p>
            <w:pPr>
              <w:jc w:val="center"/>
              <w:ind w:right="262"/>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Percentage</w:t>
            </w:r>
          </w:p>
        </w:tc>
        <w:tc>
          <w:tcPr>
            <w:tcW w:w="340" w:type="dxa"/>
            <w:vAlign w:val="bottom"/>
          </w:tcPr>
          <w:p>
            <w:pPr>
              <w:spacing w:after="0"/>
              <w:rPr>
                <w:sz w:val="16"/>
                <w:szCs w:val="16"/>
                <w:color w:val="auto"/>
              </w:rPr>
            </w:pPr>
          </w:p>
        </w:tc>
        <w:tc>
          <w:tcPr>
            <w:tcW w:w="1620" w:type="dxa"/>
            <w:vAlign w:val="bottom"/>
            <w:tcBorders>
              <w:bottom w:val="single" w:sz="8" w:color="auto"/>
            </w:tcBorders>
          </w:tcPr>
          <w:p>
            <w:pPr>
              <w:jc w:val="center"/>
              <w:ind w:left="342"/>
              <w:spacing w:after="0"/>
              <w:rPr>
                <w:sz w:val="20"/>
                <w:szCs w:val="20"/>
                <w:color w:val="auto"/>
              </w:rPr>
            </w:pPr>
            <w:r>
              <w:rPr>
                <w:rFonts w:ascii="Arial" w:cs="Arial" w:eastAsia="Arial" w:hAnsi="Arial"/>
                <w:sz w:val="14"/>
                <w:szCs w:val="14"/>
                <w:b w:val="1"/>
                <w:bCs w:val="1"/>
                <w:color w:val="auto"/>
                <w:w w:val="91"/>
              </w:rPr>
              <w:t>December 31, 2021</w:t>
            </w:r>
          </w:p>
        </w:tc>
        <w:tc>
          <w:tcPr>
            <w:tcW w:w="4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w w:val="92"/>
              </w:rPr>
              <w:t>June 30,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4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Falikang</w:t>
            </w:r>
          </w:p>
        </w:tc>
        <w:tc>
          <w:tcPr>
            <w:tcW w:w="1880" w:type="dxa"/>
            <w:vAlign w:val="bottom"/>
            <w:tcBorders>
              <w:bottom w:val="single" w:sz="8" w:color="CFF0FC"/>
            </w:tcBorders>
            <w:gridSpan w:val="3"/>
            <w:shd w:val="clear" w:color="auto" w:fill="CFF0FC"/>
          </w:tcPr>
          <w:p>
            <w:pPr>
              <w:jc w:val="right"/>
              <w:ind w:right="180"/>
              <w:spacing w:after="0" w:line="182" w:lineRule="exact"/>
              <w:rPr>
                <w:sz w:val="20"/>
                <w:szCs w:val="20"/>
                <w:color w:val="auto"/>
              </w:rPr>
            </w:pPr>
            <w:r>
              <w:rPr>
                <w:rFonts w:ascii="Arial" w:cs="Arial" w:eastAsia="Arial" w:hAnsi="Arial"/>
                <w:sz w:val="18"/>
                <w:szCs w:val="18"/>
                <w:color w:val="auto"/>
              </w:rPr>
              <w:t>51.1 %</w:t>
            </w:r>
          </w:p>
        </w:tc>
        <w:tc>
          <w:tcPr>
            <w:tcW w:w="1620" w:type="dxa"/>
            <w:vAlign w:val="bottom"/>
            <w:tcBorders>
              <w:bottom w:val="single" w:sz="8" w:color="auto"/>
            </w:tcBorders>
            <w:shd w:val="clear" w:color="auto" w:fill="CFF0FC"/>
          </w:tcPr>
          <w:p>
            <w:pPr>
              <w:jc w:val="right"/>
              <w:ind w:right="1422"/>
              <w:spacing w:after="0" w:line="182"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8"/>
              </w:rPr>
              <w:t>3,825</w:t>
            </w:r>
          </w:p>
        </w:tc>
        <w:tc>
          <w:tcPr>
            <w:tcW w:w="36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439"/>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885</w:t>
            </w:r>
          </w:p>
        </w:tc>
        <w:tc>
          <w:tcPr>
            <w:tcW w:w="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(216</w:t>
            </w:r>
          </w:p>
        </w:tc>
        <w:tc>
          <w:tcPr>
            <w:tcW w:w="320" w:type="dxa"/>
            <w:vAlign w:val="bottom"/>
            <w:tcBorders>
              <w:bottom w:val="single" w:sz="8" w:color="CFF0FC"/>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4,494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-24765</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Falikang is considered a related party to the Company. See Note 7,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related disclosures.</w:t>
      </w:r>
    </w:p>
    <w:p>
      <w:pPr>
        <w:spacing w:after="0" w:line="316"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assets that are measured on a recurring basis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center"/>
              <w:ind w:left="174"/>
              <w:spacing w:after="0"/>
              <w:rPr>
                <w:sz w:val="20"/>
                <w:szCs w:val="20"/>
                <w:color w:val="auto"/>
              </w:rPr>
            </w:pPr>
            <w:r>
              <w:rPr>
                <w:rFonts w:ascii="Arial" w:cs="Arial" w:eastAsia="Arial" w:hAnsi="Arial"/>
                <w:sz w:val="14"/>
                <w:szCs w:val="14"/>
                <w:b w:val="1"/>
                <w:bCs w:val="1"/>
                <w:color w:val="auto"/>
                <w:w w:val="90"/>
              </w:rPr>
              <w:t>June 30, 2022</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12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96"/>
        </w:trPr>
        <w:tc>
          <w:tcPr>
            <w:tcW w:w="4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Money market funds</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34,123</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center"/>
              <w:ind w:right="996"/>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34,123</w:t>
            </w:r>
          </w:p>
        </w:tc>
        <w:tc>
          <w:tcPr>
            <w:tcW w:w="100" w:type="dxa"/>
            <w:vAlign w:val="bottom"/>
            <w:shd w:val="clear" w:color="auto" w:fill="CFF0FC"/>
          </w:tcPr>
          <w:p>
            <w:pPr>
              <w:spacing w:after="0"/>
              <w:rPr>
                <w:sz w:val="17"/>
                <w:szCs w:val="17"/>
                <w:color w:val="auto"/>
              </w:rPr>
            </w:pPr>
          </w:p>
        </w:tc>
      </w:tr>
      <w:tr>
        <w:trPr>
          <w:trHeight w:val="203"/>
        </w:trPr>
        <w:tc>
          <w:tcPr>
            <w:tcW w:w="424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125,491</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125,491</w:t>
            </w:r>
          </w:p>
        </w:tc>
        <w:tc>
          <w:tcPr>
            <w:tcW w:w="100" w:type="dxa"/>
            <w:vAlign w:val="bottom"/>
          </w:tcPr>
          <w:p>
            <w:pPr>
              <w:spacing w:after="0"/>
              <w:rPr>
                <w:sz w:val="17"/>
                <w:szCs w:val="17"/>
                <w:color w:val="auto"/>
              </w:rPr>
            </w:pPr>
          </w:p>
        </w:tc>
      </w:tr>
      <w:tr>
        <w:trPr>
          <w:trHeight w:val="203"/>
        </w:trPr>
        <w:tc>
          <w:tcPr>
            <w:tcW w:w="4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55,307</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55,307</w:t>
            </w:r>
          </w:p>
        </w:tc>
        <w:tc>
          <w:tcPr>
            <w:tcW w:w="100" w:type="dxa"/>
            <w:vAlign w:val="bottom"/>
            <w:shd w:val="clear" w:color="auto" w:fill="CFF0FC"/>
          </w:tcPr>
          <w:p>
            <w:pPr>
              <w:spacing w:after="0"/>
              <w:rPr>
                <w:sz w:val="17"/>
                <w:szCs w:val="17"/>
                <w:color w:val="auto"/>
              </w:rPr>
            </w:pPr>
          </w:p>
        </w:tc>
      </w:tr>
      <w:tr>
        <w:trPr>
          <w:trHeight w:val="203"/>
        </w:trPr>
        <w:tc>
          <w:tcPr>
            <w:tcW w:w="4240" w:type="dxa"/>
            <w:vAlign w:val="bottom"/>
          </w:tcPr>
          <w:p>
            <w:pPr>
              <w:ind w:left="20"/>
              <w:spacing w:after="0" w:line="202" w:lineRule="exact"/>
              <w:rPr>
                <w:sz w:val="20"/>
                <w:szCs w:val="20"/>
                <w:color w:val="auto"/>
              </w:rPr>
            </w:pPr>
            <w:r>
              <w:rPr>
                <w:rFonts w:ascii="Arial" w:cs="Arial" w:eastAsia="Arial" w:hAnsi="Arial"/>
                <w:sz w:val="18"/>
                <w:szCs w:val="18"/>
                <w:color w:val="auto"/>
              </w:rPr>
              <w:t>U.S. government bonds</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105,383</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10,972</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116,355</w:t>
            </w:r>
          </w:p>
        </w:tc>
        <w:tc>
          <w:tcPr>
            <w:tcW w:w="100" w:type="dxa"/>
            <w:vAlign w:val="bottom"/>
          </w:tcPr>
          <w:p>
            <w:pPr>
              <w:spacing w:after="0"/>
              <w:rPr>
                <w:sz w:val="17"/>
                <w:szCs w:val="17"/>
                <w:color w:val="auto"/>
              </w:rPr>
            </w:pPr>
          </w:p>
        </w:tc>
      </w:tr>
      <w:tr>
        <w:trPr>
          <w:trHeight w:val="203"/>
        </w:trPr>
        <w:tc>
          <w:tcPr>
            <w:tcW w:w="4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Agency bonds</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14,930</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14,930</w:t>
            </w:r>
          </w:p>
        </w:tc>
        <w:tc>
          <w:tcPr>
            <w:tcW w:w="100" w:type="dxa"/>
            <w:vAlign w:val="bottom"/>
            <w:shd w:val="clear" w:color="auto" w:fill="CFF0FC"/>
          </w:tcPr>
          <w:p>
            <w:pPr>
              <w:spacing w:after="0"/>
              <w:rPr>
                <w:sz w:val="17"/>
                <w:szCs w:val="17"/>
                <w:color w:val="auto"/>
              </w:rPr>
            </w:pPr>
          </w:p>
        </w:tc>
      </w:tr>
      <w:tr>
        <w:trPr>
          <w:trHeight w:val="203"/>
        </w:trPr>
        <w:tc>
          <w:tcPr>
            <w:tcW w:w="4240" w:type="dxa"/>
            <w:vAlign w:val="bottom"/>
          </w:tcPr>
          <w:p>
            <w:pPr>
              <w:ind w:left="20"/>
              <w:spacing w:after="0" w:line="202" w:lineRule="exact"/>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4,741</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4,741</w:t>
            </w:r>
          </w:p>
        </w:tc>
        <w:tc>
          <w:tcPr>
            <w:tcW w:w="100" w:type="dxa"/>
            <w:vAlign w:val="bottom"/>
          </w:tcPr>
          <w:p>
            <w:pPr>
              <w:spacing w:after="0"/>
              <w:rPr>
                <w:sz w:val="17"/>
                <w:szCs w:val="17"/>
                <w:color w:val="auto"/>
              </w:rPr>
            </w:pPr>
          </w:p>
        </w:tc>
      </w:tr>
      <w:tr>
        <w:trPr>
          <w:trHeight w:val="203"/>
        </w:trPr>
        <w:tc>
          <w:tcPr>
            <w:tcW w:w="4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government bonds</w:t>
            </w: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4,954</w:t>
            </w:r>
          </w:p>
        </w:tc>
        <w:tc>
          <w:tcPr>
            <w:tcW w:w="260" w:type="dxa"/>
            <w:vAlign w:val="bottom"/>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ind w:left="20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4,954</w:t>
            </w:r>
          </w:p>
        </w:tc>
        <w:tc>
          <w:tcPr>
            <w:tcW w:w="100" w:type="dxa"/>
            <w:vAlign w:val="bottom"/>
            <w:shd w:val="clear" w:color="auto" w:fill="CFF0FC"/>
          </w:tcPr>
          <w:p>
            <w:pPr>
              <w:spacing w:after="0"/>
              <w:rPr>
                <w:sz w:val="17"/>
                <w:szCs w:val="17"/>
                <w:color w:val="auto"/>
              </w:rPr>
            </w:pPr>
          </w:p>
        </w:tc>
      </w:tr>
      <w:tr>
        <w:trPr>
          <w:trHeight w:val="196"/>
        </w:trPr>
        <w:tc>
          <w:tcPr>
            <w:tcW w:w="424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139,506</w:t>
            </w:r>
          </w:p>
        </w:tc>
        <w:tc>
          <w:tcPr>
            <w:tcW w:w="3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216,395</w:t>
            </w:r>
          </w:p>
        </w:tc>
        <w:tc>
          <w:tcPr>
            <w:tcW w:w="260" w:type="dxa"/>
            <w:vAlign w:val="bottom"/>
          </w:tcPr>
          <w:p>
            <w:pPr>
              <w:spacing w:after="0"/>
              <w:rPr>
                <w:sz w:val="17"/>
                <w:szCs w:val="17"/>
                <w:color w:val="auto"/>
              </w:rPr>
            </w:pPr>
          </w:p>
        </w:tc>
        <w:tc>
          <w:tcPr>
            <w:tcW w:w="1220" w:type="dxa"/>
            <w:vAlign w:val="bottom"/>
            <w:tcBorders>
              <w:bottom w:val="single" w:sz="8" w:color="auto"/>
            </w:tcBorders>
          </w:tcPr>
          <w:p>
            <w:pPr>
              <w:jc w:val="center"/>
              <w:ind w:right="996"/>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355,901</w:t>
            </w:r>
          </w:p>
        </w:tc>
        <w:tc>
          <w:tcPr>
            <w:tcW w:w="100" w:type="dxa"/>
            <w:vAlign w:val="bottom"/>
          </w:tcPr>
          <w:p>
            <w:pPr>
              <w:spacing w:after="0"/>
              <w:rPr>
                <w:sz w:val="17"/>
                <w:szCs w:val="17"/>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4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jc w:val="center"/>
              <w:ind w:left="174"/>
              <w:spacing w:after="0"/>
              <w:rPr>
                <w:sz w:val="20"/>
                <w:szCs w:val="20"/>
                <w:color w:val="auto"/>
              </w:rPr>
            </w:pPr>
            <w:r>
              <w:rPr>
                <w:rFonts w:ascii="Arial" w:cs="Arial" w:eastAsia="Arial" w:hAnsi="Arial"/>
                <w:sz w:val="14"/>
                <w:szCs w:val="14"/>
                <w:b w:val="1"/>
                <w:bCs w:val="1"/>
                <w:color w:val="auto"/>
                <w:w w:val="93"/>
              </w:rPr>
              <w:t>December 31, 2021</w:t>
            </w: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12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96"/>
        </w:trPr>
        <w:tc>
          <w:tcPr>
            <w:tcW w:w="4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Money market funds</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58,801</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center"/>
              <w:ind w:right="996"/>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58,801</w:t>
            </w:r>
          </w:p>
        </w:tc>
        <w:tc>
          <w:tcPr>
            <w:tcW w:w="100" w:type="dxa"/>
            <w:vAlign w:val="bottom"/>
            <w:shd w:val="clear" w:color="auto" w:fill="CFF0FC"/>
          </w:tcPr>
          <w:p>
            <w:pPr>
              <w:spacing w:after="0"/>
              <w:rPr>
                <w:sz w:val="17"/>
                <w:szCs w:val="17"/>
                <w:color w:val="auto"/>
              </w:rPr>
            </w:pPr>
          </w:p>
        </w:tc>
      </w:tr>
      <w:tr>
        <w:trPr>
          <w:trHeight w:val="203"/>
        </w:trPr>
        <w:tc>
          <w:tcPr>
            <w:tcW w:w="424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182,646</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182,646</w:t>
            </w:r>
          </w:p>
        </w:tc>
        <w:tc>
          <w:tcPr>
            <w:tcW w:w="100" w:type="dxa"/>
            <w:vAlign w:val="bottom"/>
          </w:tcPr>
          <w:p>
            <w:pPr>
              <w:spacing w:after="0"/>
              <w:rPr>
                <w:sz w:val="17"/>
                <w:szCs w:val="17"/>
                <w:color w:val="auto"/>
              </w:rPr>
            </w:pPr>
          </w:p>
        </w:tc>
      </w:tr>
      <w:tr>
        <w:trPr>
          <w:trHeight w:val="203"/>
        </w:trPr>
        <w:tc>
          <w:tcPr>
            <w:tcW w:w="4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69,079</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69,079</w:t>
            </w:r>
          </w:p>
        </w:tc>
        <w:tc>
          <w:tcPr>
            <w:tcW w:w="100" w:type="dxa"/>
            <w:vAlign w:val="bottom"/>
            <w:shd w:val="clear" w:color="auto" w:fill="CFF0FC"/>
          </w:tcPr>
          <w:p>
            <w:pPr>
              <w:spacing w:after="0"/>
              <w:rPr>
                <w:sz w:val="17"/>
                <w:szCs w:val="17"/>
                <w:color w:val="auto"/>
              </w:rPr>
            </w:pPr>
          </w:p>
        </w:tc>
      </w:tr>
      <w:tr>
        <w:trPr>
          <w:trHeight w:val="203"/>
        </w:trPr>
        <w:tc>
          <w:tcPr>
            <w:tcW w:w="4240" w:type="dxa"/>
            <w:vAlign w:val="bottom"/>
          </w:tcPr>
          <w:p>
            <w:pPr>
              <w:ind w:left="20"/>
              <w:spacing w:after="0" w:line="202" w:lineRule="exact"/>
              <w:rPr>
                <w:sz w:val="20"/>
                <w:szCs w:val="20"/>
                <w:color w:val="auto"/>
              </w:rPr>
            </w:pPr>
            <w:r>
              <w:rPr>
                <w:rFonts w:ascii="Arial" w:cs="Arial" w:eastAsia="Arial" w:hAnsi="Arial"/>
                <w:sz w:val="18"/>
                <w:szCs w:val="18"/>
                <w:color w:val="auto"/>
              </w:rPr>
              <w:t>U.S. government bonds</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91,522</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91,522</w:t>
            </w:r>
          </w:p>
        </w:tc>
        <w:tc>
          <w:tcPr>
            <w:tcW w:w="100" w:type="dxa"/>
            <w:vAlign w:val="bottom"/>
          </w:tcPr>
          <w:p>
            <w:pPr>
              <w:spacing w:after="0"/>
              <w:rPr>
                <w:sz w:val="17"/>
                <w:szCs w:val="17"/>
                <w:color w:val="auto"/>
              </w:rPr>
            </w:pPr>
          </w:p>
        </w:tc>
      </w:tr>
      <w:tr>
        <w:trPr>
          <w:trHeight w:val="203"/>
        </w:trPr>
        <w:tc>
          <w:tcPr>
            <w:tcW w:w="4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Agency bonds</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23,275</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23,275</w:t>
            </w:r>
          </w:p>
        </w:tc>
        <w:tc>
          <w:tcPr>
            <w:tcW w:w="100" w:type="dxa"/>
            <w:vAlign w:val="bottom"/>
            <w:shd w:val="clear" w:color="auto" w:fill="CFF0FC"/>
          </w:tcPr>
          <w:p>
            <w:pPr>
              <w:spacing w:after="0"/>
              <w:rPr>
                <w:sz w:val="17"/>
                <w:szCs w:val="17"/>
                <w:color w:val="auto"/>
              </w:rPr>
            </w:pPr>
          </w:p>
        </w:tc>
      </w:tr>
      <w:tr>
        <w:trPr>
          <w:trHeight w:val="203"/>
        </w:trPr>
        <w:tc>
          <w:tcPr>
            <w:tcW w:w="4240" w:type="dxa"/>
            <w:vAlign w:val="bottom"/>
          </w:tcPr>
          <w:p>
            <w:pPr>
              <w:ind w:left="20"/>
              <w:spacing w:after="0" w:line="202" w:lineRule="exact"/>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27,087</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27,087</w:t>
            </w:r>
          </w:p>
        </w:tc>
        <w:tc>
          <w:tcPr>
            <w:tcW w:w="100" w:type="dxa"/>
            <w:vAlign w:val="bottom"/>
          </w:tcPr>
          <w:p>
            <w:pPr>
              <w:spacing w:after="0"/>
              <w:rPr>
                <w:sz w:val="17"/>
                <w:szCs w:val="17"/>
                <w:color w:val="auto"/>
              </w:rPr>
            </w:pPr>
          </w:p>
        </w:tc>
      </w:tr>
      <w:tr>
        <w:trPr>
          <w:trHeight w:val="203"/>
        </w:trPr>
        <w:tc>
          <w:tcPr>
            <w:tcW w:w="4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government bonds</w:t>
            </w: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9,154</w:t>
            </w:r>
          </w:p>
        </w:tc>
        <w:tc>
          <w:tcPr>
            <w:tcW w:w="260" w:type="dxa"/>
            <w:vAlign w:val="bottom"/>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ind w:left="20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9,154</w:t>
            </w:r>
          </w:p>
        </w:tc>
        <w:tc>
          <w:tcPr>
            <w:tcW w:w="100" w:type="dxa"/>
            <w:vAlign w:val="bottom"/>
            <w:shd w:val="clear" w:color="auto" w:fill="CFF0FC"/>
          </w:tcPr>
          <w:p>
            <w:pPr>
              <w:spacing w:after="0"/>
              <w:rPr>
                <w:sz w:val="17"/>
                <w:szCs w:val="17"/>
                <w:color w:val="auto"/>
              </w:rPr>
            </w:pPr>
          </w:p>
        </w:tc>
      </w:tr>
      <w:tr>
        <w:trPr>
          <w:trHeight w:val="196"/>
        </w:trPr>
        <w:tc>
          <w:tcPr>
            <w:tcW w:w="424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150,323</w:t>
            </w:r>
          </w:p>
        </w:tc>
        <w:tc>
          <w:tcPr>
            <w:tcW w:w="3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311,241</w:t>
            </w:r>
          </w:p>
        </w:tc>
        <w:tc>
          <w:tcPr>
            <w:tcW w:w="260" w:type="dxa"/>
            <w:vAlign w:val="bottom"/>
          </w:tcPr>
          <w:p>
            <w:pPr>
              <w:spacing w:after="0"/>
              <w:rPr>
                <w:sz w:val="17"/>
                <w:szCs w:val="17"/>
                <w:color w:val="auto"/>
              </w:rPr>
            </w:pPr>
          </w:p>
        </w:tc>
        <w:tc>
          <w:tcPr>
            <w:tcW w:w="1220" w:type="dxa"/>
            <w:vAlign w:val="bottom"/>
            <w:tcBorders>
              <w:bottom w:val="single" w:sz="8" w:color="auto"/>
            </w:tcBorders>
          </w:tcPr>
          <w:p>
            <w:pPr>
              <w:jc w:val="center"/>
              <w:ind w:right="996"/>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461,564</w:t>
            </w:r>
          </w:p>
        </w:tc>
        <w:tc>
          <w:tcPr>
            <w:tcW w:w="100" w:type="dxa"/>
            <w:vAlign w:val="bottom"/>
          </w:tcPr>
          <w:p>
            <w:pPr>
              <w:spacing w:after="0"/>
              <w:rPr>
                <w:sz w:val="17"/>
                <w:szCs w:val="17"/>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There were no transfers of assets between levels during the three and six months ended June 30, 2022.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ind w:right="8780" w:firstLine="8"/>
        <w:spacing w:after="0" w:line="434" w:lineRule="auto"/>
        <w:tabs>
          <w:tab w:leader="none" w:pos="360"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Balance Sheet Components </w:t>
      </w:r>
      <w:r>
        <w:rPr>
          <w:rFonts w:ascii="Arial" w:cs="Arial" w:eastAsia="Arial" w:hAnsi="Arial"/>
          <w:sz w:val="15"/>
          <w:szCs w:val="15"/>
          <w:b w:val="1"/>
          <w:bCs w:val="1"/>
          <w:i w:val="1"/>
          <w:iCs w:val="1"/>
          <w:color w:val="auto"/>
        </w:rPr>
        <w:t>Cash and Cash Equivalents</w:t>
      </w:r>
    </w:p>
    <w:p>
      <w:pPr>
        <w:spacing w:after="0" w:line="1"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8"/>
          <w:szCs w:val="18"/>
          <w:color w:val="auto"/>
        </w:rPr>
        <w:t>Cash and cash equivalents consisted of the following (in thousands):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June 30, 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8"/>
              </w:rPr>
              <w:t>December 31, 2021</w:t>
            </w:r>
          </w:p>
        </w:tc>
        <w:tc>
          <w:tcPr>
            <w:tcW w:w="80" w:type="dxa"/>
            <w:vAlign w:val="bottom"/>
          </w:tcPr>
          <w:p>
            <w:pPr>
              <w:spacing w:after="0"/>
              <w:rPr>
                <w:sz w:val="16"/>
                <w:szCs w:val="16"/>
                <w:color w:val="auto"/>
              </w:rPr>
            </w:pPr>
          </w:p>
        </w:tc>
      </w:tr>
      <w:tr>
        <w:trPr>
          <w:trHeight w:val="19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128,152</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111,422</w:t>
            </w:r>
          </w:p>
        </w:tc>
        <w:tc>
          <w:tcPr>
            <w:tcW w:w="8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5,483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80" w:type="dxa"/>
            <w:vAlign w:val="bottom"/>
          </w:tcPr>
          <w:p>
            <w:pPr>
              <w:spacing w:after="0"/>
              <w:rPr>
                <w:sz w:val="17"/>
                <w:szCs w:val="17"/>
                <w:color w:val="auto"/>
              </w:rPr>
            </w:pPr>
          </w:p>
        </w:tc>
      </w:tr>
      <w:tr>
        <w:trPr>
          <w:trHeight w:val="203"/>
        </w:trPr>
        <w:tc>
          <w:tcPr>
            <w:tcW w:w="49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34,123</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58,801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960" w:type="dxa"/>
            <w:vAlign w:val="bottom"/>
          </w:tcPr>
          <w:p>
            <w:pPr>
              <w:ind w:left="180"/>
              <w:spacing w:after="0" w:line="196" w:lineRule="exact"/>
              <w:rPr>
                <w:sz w:val="20"/>
                <w:szCs w:val="20"/>
                <w:color w:val="auto"/>
              </w:rPr>
            </w:pPr>
            <w:r>
              <w:rPr>
                <w:rFonts w:ascii="Arial" w:cs="Arial" w:eastAsia="Arial" w:hAnsi="Arial"/>
                <w:sz w:val="18"/>
                <w:szCs w:val="18"/>
                <w:color w:val="auto"/>
              </w:rPr>
              <w:t>Total cash and cash equivalents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167,758</w:t>
            </w:r>
          </w:p>
        </w:tc>
        <w:tc>
          <w:tcPr>
            <w:tcW w:w="50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171,223</w:t>
            </w:r>
          </w:p>
        </w:tc>
        <w:tc>
          <w:tcPr>
            <w:tcW w:w="80" w:type="dxa"/>
            <w:vAlign w:val="bottom"/>
          </w:tcPr>
          <w:p>
            <w:pPr>
              <w:spacing w:after="0"/>
              <w:rPr>
                <w:sz w:val="17"/>
                <w:szCs w:val="17"/>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-159385</wp:posOffset>
            </wp:positionV>
            <wp:extent cx="6032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At June 30, 2022 and December 31, 2021, a total of $98.8 million and $91.2 million, respectively, of the Company’s cash and cash equivalents were held outside of the U.S. in its foreign subsidiaries to be used primarily for its China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The Company’s investments consist of available-for-sale debt investments and marketable equity investments. The amortized cost, gross unrealized holding gains or losses, and fair value of the Company’s investments by major investments type are summarized in the tables below (in thousands):</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5"/>
          </w:tcPr>
          <w:p>
            <w:pPr>
              <w:jc w:val="right"/>
              <w:ind w:right="1130"/>
              <w:spacing w:after="0"/>
              <w:rPr>
                <w:sz w:val="20"/>
                <w:szCs w:val="20"/>
                <w:color w:val="auto"/>
              </w:rPr>
            </w:pPr>
            <w:r>
              <w:rPr>
                <w:rFonts w:ascii="Arial" w:cs="Arial" w:eastAsia="Arial" w:hAnsi="Arial"/>
                <w:sz w:val="14"/>
                <w:szCs w:val="14"/>
                <w:b w:val="1"/>
                <w:bCs w:val="1"/>
                <w:color w:val="auto"/>
              </w:rPr>
              <w:t>June 30, 2022</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2"/>
              </w:rPr>
              <w:t>Amortized Cost</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center"/>
              <w:ind w:right="27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24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Holding Gains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88"/>
              </w:rPr>
              <w:t>Holding Losses</w:t>
            </w:r>
          </w:p>
        </w:tc>
        <w:tc>
          <w:tcPr>
            <w:tcW w:w="2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Corporate bonds</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127,387</w:t>
            </w: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(1,896</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125,491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49,824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49,824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government bonds</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118,142</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(1,787 )</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116,355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Agency bonds</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15,235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(305 )</w:t>
            </w: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14,930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4,751</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(10 )</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Foreign government bonds</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5,032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(78 )</w:t>
            </w: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4,954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00" w:type="dxa"/>
            <w:vAlign w:val="bottom"/>
            <w:tcBorders>
              <w:top w:val="single" w:sz="8" w:color="CFF0FC"/>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investments</w:t>
            </w: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320,371</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(4,076</w:t>
            </w:r>
          </w:p>
        </w:tc>
        <w:tc>
          <w:tcPr>
            <w:tcW w:w="240" w:type="dxa"/>
            <w:vAlign w:val="bottom"/>
            <w:tcBorders>
              <w:top w:val="single" w:sz="8" w:color="CFF0FC"/>
              <w:bottom w:val="single" w:sz="8" w:color="CFF0FC"/>
            </w:tcBorders>
            <w:shd w:val="clear" w:color="auto" w:fill="CFF0FC"/>
          </w:tcPr>
          <w:p>
            <w:pPr>
              <w:jc w:val="right"/>
              <w:ind w:right="70"/>
              <w:spacing w:after="0" w:line="17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316,295</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3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right"/>
              <w:ind w:right="97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2"/>
              </w:rPr>
              <w:t>Amortized Cost</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center"/>
              <w:ind w:right="27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24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Holding Gains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88"/>
              </w:rPr>
              <w:t>Holding Losses</w:t>
            </w:r>
          </w:p>
        </w:tc>
        <w:tc>
          <w:tcPr>
            <w:tcW w:w="2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Corporate bonds</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183,136</w:t>
            </w: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(492</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182,646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68,079</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68,079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government bonds</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91,840</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(318 )</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91,522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Agency bonds</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23,339</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(64 )</w:t>
            </w: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23,275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27,105</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(18 )</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Foreign government bonds</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9,165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(11 )</w:t>
            </w: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9,154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00" w:type="dxa"/>
            <w:vAlign w:val="bottom"/>
            <w:tcBorders>
              <w:top w:val="single" w:sz="8" w:color="CFF0FC"/>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investments</w:t>
            </w: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402,664</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(903</w:t>
            </w:r>
          </w:p>
        </w:tc>
        <w:tc>
          <w:tcPr>
            <w:tcW w:w="240" w:type="dxa"/>
            <w:vAlign w:val="bottom"/>
            <w:tcBorders>
              <w:top w:val="single" w:sz="8" w:color="CFF0FC"/>
              <w:bottom w:val="single" w:sz="8" w:color="CFF0FC"/>
            </w:tcBorders>
            <w:shd w:val="clear" w:color="auto" w:fill="CFF0FC"/>
          </w:tcPr>
          <w:p>
            <w:pPr>
              <w:jc w:val="right"/>
              <w:ind w:right="70"/>
              <w:spacing w:after="0" w:line="17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401,763</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-1422400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-1405255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-1559560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-1422400</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-1405255</wp:posOffset>
            </wp:positionV>
            <wp:extent cx="603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-1559560</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-1422400</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-1405255</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-1559560</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-1422400</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-1405255</wp:posOffset>
            </wp:positionV>
            <wp:extent cx="603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-1559560</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-161925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-161925</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-161925</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-161925</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At June 30, 2022, the available-for-sale investments had contractual maturities range from several months to two years.</w:t>
      </w:r>
    </w:p>
    <w:p>
      <w:pPr>
        <w:spacing w:after="0" w:line="212"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Company periodically reviews its available-for-sale investments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Based on the results of its review, the Company did not recognize any other-than-temporary impairment loss during the three and six months ended June 30, 2022 and 2021.</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June 30, 2022</w:t>
            </w:r>
          </w:p>
        </w:tc>
        <w:tc>
          <w:tcPr>
            <w:tcW w:w="2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December 31, 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Raw materials</w:t>
            </w:r>
          </w:p>
        </w:tc>
        <w:tc>
          <w:tcPr>
            <w:tcW w:w="260" w:type="dxa"/>
            <w:vAlign w:val="bottom"/>
            <w:gridSpan w:val="2"/>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1,220</w:t>
            </w:r>
          </w:p>
        </w:tc>
        <w:tc>
          <w:tcPr>
            <w:tcW w:w="26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7"/>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1,363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20" w:type="dxa"/>
            <w:vAlign w:val="bottom"/>
          </w:tcPr>
          <w:p>
            <w:pPr>
              <w:spacing w:after="0" w:line="202" w:lineRule="exact"/>
              <w:rPr>
                <w:sz w:val="20"/>
                <w:szCs w:val="20"/>
                <w:color w:val="auto"/>
              </w:rPr>
            </w:pPr>
            <w:r>
              <w:rPr>
                <w:rFonts w:ascii="Arial" w:cs="Arial" w:eastAsia="Arial" w:hAnsi="Arial"/>
                <w:sz w:val="18"/>
                <w:szCs w:val="18"/>
                <w:color w:val="auto"/>
              </w:rPr>
              <w:t>Work-in-progress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34,488</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21,499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Finished goods</w:t>
            </w:r>
          </w:p>
        </w:tc>
        <w:tc>
          <w:tcPr>
            <w:tcW w:w="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5,191</w:t>
            </w:r>
          </w:p>
        </w:tc>
        <w:tc>
          <w:tcPr>
            <w:tcW w:w="2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8,153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20" w:type="dxa"/>
            <w:vAlign w:val="bottom"/>
          </w:tcPr>
          <w:p>
            <w:pPr>
              <w:ind w:left="180"/>
              <w:spacing w:after="0" w:line="196" w:lineRule="exact"/>
              <w:rPr>
                <w:sz w:val="20"/>
                <w:szCs w:val="20"/>
                <w:color w:val="auto"/>
              </w:rPr>
            </w:pPr>
            <w:r>
              <w:rPr>
                <w:rFonts w:ascii="Arial" w:cs="Arial" w:eastAsia="Arial" w:hAnsi="Arial"/>
                <w:sz w:val="18"/>
                <w:szCs w:val="18"/>
                <w:color w:val="auto"/>
              </w:rPr>
              <w:t>Total inventories</w:t>
            </w:r>
          </w:p>
        </w:tc>
        <w:tc>
          <w:tcPr>
            <w:tcW w:w="260" w:type="dxa"/>
            <w:vAlign w:val="bottom"/>
            <w:gridSpan w:val="2"/>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40,899</w:t>
            </w:r>
          </w:p>
        </w:tc>
        <w:tc>
          <w:tcPr>
            <w:tcW w:w="460" w:type="dxa"/>
            <w:vAlign w:val="bottom"/>
            <w:gridSpan w:val="3"/>
          </w:tcPr>
          <w:p>
            <w:pPr>
              <w:jc w:val="right"/>
              <w:ind w:right="27"/>
              <w:spacing w:after="0" w:line="196"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31,015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and Other Current Liabilities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3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360" w:type="dxa"/>
            <w:vAlign w:val="bottom"/>
            <w:gridSpan w:val="2"/>
          </w:tcPr>
          <w:p>
            <w:pPr>
              <w:spacing w:after="0"/>
              <w:rPr>
                <w:sz w:val="20"/>
                <w:szCs w:val="20"/>
                <w:color w:val="auto"/>
              </w:rPr>
            </w:pPr>
            <w:r>
              <w:rPr>
                <w:rFonts w:ascii="Arial" w:cs="Arial" w:eastAsia="Arial" w:hAnsi="Arial"/>
                <w:sz w:val="18"/>
                <w:szCs w:val="18"/>
                <w:color w:val="auto"/>
              </w:rPr>
              <w:t>Accrued and other current liabilities consisted of the following (in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June 30, 2022</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December 31, 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Preclinical and clinical trial accruals</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66,553</w:t>
            </w:r>
          </w:p>
        </w:tc>
        <w:tc>
          <w:tcPr>
            <w:tcW w:w="300" w:type="dxa"/>
            <w:vAlign w:val="bottom"/>
            <w:gridSpan w:val="2"/>
            <w:shd w:val="clear" w:color="auto" w:fill="CFF0FC"/>
          </w:tcPr>
          <w:p>
            <w:pPr>
              <w:spacing w:after="0"/>
              <w:rPr>
                <w:sz w:val="17"/>
                <w:szCs w:val="17"/>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56,283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20" w:type="dxa"/>
            <w:vAlign w:val="bottom"/>
          </w:tcPr>
          <w:p>
            <w:pPr>
              <w:spacing w:after="0" w:line="202" w:lineRule="exact"/>
              <w:rPr>
                <w:sz w:val="20"/>
                <w:szCs w:val="20"/>
                <w:color w:val="auto"/>
              </w:rPr>
            </w:pPr>
            <w:r>
              <w:rPr>
                <w:rFonts w:ascii="Arial" w:cs="Arial" w:eastAsia="Arial" w:hAnsi="Arial"/>
                <w:sz w:val="18"/>
                <w:szCs w:val="18"/>
                <w:color w:val="auto"/>
              </w:rPr>
              <w:t>API and bulk drug product price true-up</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54,443</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Acquired in-process research and development asset</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20" w:type="dxa"/>
            <w:vAlign w:val="bottom"/>
          </w:tcPr>
          <w:p>
            <w:pPr>
              <w:spacing w:after="0" w:line="202" w:lineRule="exact"/>
              <w:rPr>
                <w:sz w:val="20"/>
                <w:szCs w:val="20"/>
                <w:color w:val="auto"/>
              </w:rPr>
            </w:pPr>
            <w:r>
              <w:rPr>
                <w:rFonts w:ascii="Arial" w:cs="Arial" w:eastAsia="Arial" w:hAnsi="Arial"/>
                <w:sz w:val="18"/>
                <w:szCs w:val="18"/>
                <w:color w:val="auto"/>
              </w:rPr>
              <w:t>Payroll and related accruals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13,480</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20,909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co-promotion expenses - current</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32,352</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25,746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20" w:type="dxa"/>
            <w:vAlign w:val="bottom"/>
          </w:tcPr>
          <w:p>
            <w:pPr>
              <w:spacing w:after="0" w:line="202" w:lineRule="exact"/>
              <w:rPr>
                <w:sz w:val="20"/>
                <w:szCs w:val="20"/>
                <w:color w:val="auto"/>
              </w:rPr>
            </w:pPr>
            <w:r>
              <w:rPr>
                <w:rFonts w:ascii="Arial" w:cs="Arial" w:eastAsia="Arial" w:hAnsi="Arial"/>
                <w:sz w:val="18"/>
                <w:szCs w:val="18"/>
                <w:color w:val="auto"/>
              </w:rPr>
              <w:t>Contract liabilities to pharmaceutical distributors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1,402</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3,176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Roxadustat profit share to AstraZeneca</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7,497</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7,895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20" w:type="dxa"/>
            <w:vAlign w:val="bottom"/>
          </w:tcPr>
          <w:p>
            <w:pPr>
              <w:spacing w:after="0" w:line="202" w:lineRule="exact"/>
              <w:rPr>
                <w:sz w:val="20"/>
                <w:szCs w:val="20"/>
                <w:color w:val="auto"/>
              </w:rPr>
            </w:pPr>
            <w:r>
              <w:rPr>
                <w:rFonts w:ascii="Arial" w:cs="Arial" w:eastAsia="Arial" w:hAnsi="Arial"/>
                <w:sz w:val="18"/>
                <w:szCs w:val="18"/>
                <w:color w:val="auto"/>
              </w:rPr>
              <w:t>Property taxes and other taxes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5,449</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12,610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Professional services</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4,929</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6,074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6,994</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20" w:type="dxa"/>
            <w:vAlign w:val="bottom"/>
          </w:tcPr>
          <w:p>
            <w:pPr>
              <w:ind w:left="180"/>
              <w:spacing w:after="0" w:line="196" w:lineRule="exact"/>
              <w:rPr>
                <w:sz w:val="20"/>
                <w:szCs w:val="20"/>
                <w:color w:val="auto"/>
              </w:rPr>
            </w:pPr>
            <w:r>
              <w:rPr>
                <w:rFonts w:ascii="Arial" w:cs="Arial" w:eastAsia="Arial" w:hAnsi="Arial"/>
                <w:sz w:val="18"/>
                <w:szCs w:val="18"/>
                <w:color w:val="auto"/>
              </w:rPr>
              <w:t>Total accrued and other current liabilities</w:t>
            </w:r>
          </w:p>
        </w:tc>
        <w:tc>
          <w:tcPr>
            <w:tcW w:w="2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193,099</w:t>
            </w:r>
          </w:p>
        </w:tc>
        <w:tc>
          <w:tcPr>
            <w:tcW w:w="300" w:type="dxa"/>
            <w:vAlign w:val="bottom"/>
            <w:gridSpan w:val="2"/>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172,599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-2379345</wp:posOffset>
            </wp:positionV>
            <wp:extent cx="6032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-2379345</wp:posOffset>
            </wp:positionV>
            <wp:extent cx="5143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 xml:space="preserve">The accrued liabilities of $54.4 million for API and bulk drug product price true-up as of June 30, 2022 resulted from changes in estimated variable consideration associated with the API shipments fulfilled under the terms of the Japan Amendment with Astellas, the bulk drug product transferred under the terms of the Europe Agreement and the EU Supply Agreement with Astellas, and the bulk drug product shipments to AstraZeneca under the terms of the Master Supply Agreement. See Note 2, </w:t>
      </w:r>
      <w:r>
        <w:rPr>
          <w:rFonts w:ascii="Arial" w:cs="Arial" w:eastAsia="Arial" w:hAnsi="Arial"/>
          <w:sz w:val="17"/>
          <w:szCs w:val="17"/>
          <w:i w:val="1"/>
          <w:iCs w:val="1"/>
          <w:color w:val="auto"/>
        </w:rPr>
        <w:t>Collaboration Agreements, License Agreement and Revenues,</w:t>
      </w:r>
      <w:r>
        <w:rPr>
          <w:rFonts w:ascii="Arial" w:cs="Arial" w:eastAsia="Arial" w:hAnsi="Arial"/>
          <w:sz w:val="17"/>
          <w:szCs w:val="17"/>
          <w:color w:val="auto"/>
        </w:rPr>
        <w:t xml:space="preserve"> for details.</w:t>
      </w:r>
    </w:p>
    <w:p>
      <w:pPr>
        <w:spacing w:after="0" w:line="172"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The acquired in-process research and development asset of $35.0 million as of December 31, 2021 was related to the upfront payment under an exclusive license and option agreement with HiFiBiO Therapeutics (“HiFiBiO”), which was paid during the six months ended June 30, 2022.</w:t>
      </w:r>
    </w:p>
    <w:p>
      <w:pPr>
        <w:spacing w:after="0" w:line="291"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Provisions for (benefit from) income tax for the three and six months ended June 30, 2022 and 2021 were primarily due to foreign taxes.</w:t>
      </w:r>
    </w:p>
    <w:p>
      <w:pPr>
        <w:spacing w:after="0" w:line="212"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color w:val="auto"/>
        </w:rPr>
        <w:t>Based upon the weight of available evidence, which includes its historical operating performance, reported cumulative net losses since inception, the Company has established and continues to maintain a full valuation allowance against its net deferred tax assets as it does not currently believe that realization of those assets is more likely than not.</w:t>
      </w:r>
    </w:p>
    <w:p>
      <w:pPr>
        <w:spacing w:after="0" w:line="326"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Astellas is an equity investor in the Company and is considered a related party. The Company recorded revenue related to collaboration agreements with Astellas of $1.8 million and $2.6 million for the three months ended June 30, 2022 and 2021, and $29.6 million and $6.3 million for the six months ended June 30, 2022 and 2021, respectively. The Company also recorded drug product revenue from Astellas of $1.1 million and $(2.0) million for the three months ended June 30, 2022 and 2021, and $8.7 million and $2.1 million for the six months ended June 30, 2022 and 2021, respectively. See Note 2,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 for details.</w:t>
      </w:r>
    </w:p>
    <w:p>
      <w:pPr>
        <w:spacing w:after="0" w:line="18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Company’s expense related to collaboration agreements with Astellas was immaterial for each of the three and six months ended June 30, 2022 and 2021.</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and December 31, 2021, accounts receivable from Astellas were $26.1 million and $10.9 million,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and December 31, 2021, total deferred revenue from Astellas was $54.9 million and $27.9 million,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the amount due to Astellas was $43.3 million. As of December 31, 2021, amount due to Astellas was immaterial.</w:t>
      </w:r>
    </w:p>
    <w:p>
      <w:pPr>
        <w:spacing w:after="0" w:line="212" w:lineRule="exact"/>
        <w:rPr>
          <w:sz w:val="20"/>
          <w:szCs w:val="20"/>
          <w:color w:val="auto"/>
        </w:rPr>
      </w:pPr>
    </w:p>
    <w:p>
      <w:pPr>
        <w:ind w:right="480"/>
        <w:spacing w:after="0" w:line="324" w:lineRule="auto"/>
        <w:rPr>
          <w:sz w:val="20"/>
          <w:szCs w:val="20"/>
          <w:color w:val="auto"/>
        </w:rPr>
      </w:pPr>
      <w:r>
        <w:rPr>
          <w:rFonts w:ascii="Arial" w:cs="Arial" w:eastAsia="Arial" w:hAnsi="Arial"/>
          <w:sz w:val="16"/>
          <w:szCs w:val="16"/>
          <w:color w:val="auto"/>
        </w:rPr>
        <w:t xml:space="preserve">Falikang, an entity jointly owned by FibroGen Beijing and AstraZeneca is an unconsolidated VIE accounted for as an equity method investment, and considered as a related party to the Company. FibroGen Beijing owns 51.1% of Falikang’s equity. See Note 3, </w:t>
      </w:r>
      <w:r>
        <w:rPr>
          <w:rFonts w:ascii="Arial" w:cs="Arial" w:eastAsia="Arial" w:hAnsi="Arial"/>
          <w:sz w:val="16"/>
          <w:szCs w:val="16"/>
          <w:i w:val="1"/>
          <w:iCs w:val="1"/>
          <w:color w:val="auto"/>
        </w:rPr>
        <w:t>Variable Interest Entity</w:t>
      </w:r>
      <w:r>
        <w:rPr>
          <w:rFonts w:ascii="Arial" w:cs="Arial" w:eastAsia="Arial" w:hAnsi="Arial"/>
          <w:sz w:val="16"/>
          <w:szCs w:val="16"/>
          <w:color w:val="auto"/>
        </w:rPr>
        <w:t>, for details.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net product revenue from Falikang was $19.7 million and $11.8 million for the three months ended June 30, 2022 and 2021, and $36.0 million and</w:t>
      </w:r>
    </w:p>
    <w:p>
      <w:pPr>
        <w:spacing w:after="0" w:line="3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 xml:space="preserve">$22.2 million for the six months ended June 30, 2022 and 2021, respectively. See Note 2,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 for details.</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The investment income in Falikang was $0.6 million for each of the three months ended June 30, 2022 and 2021, and $0.9 million and $0.3 million for the six months ended June 30, 2022 and 2021, respectively. As of June 30, 2022 and December 31, 2021, the Company’s equity method investment in Falikang was $4.5 million and $3.8 million, respectively. See Note 3, </w:t>
      </w:r>
      <w:r>
        <w:rPr>
          <w:rFonts w:ascii="Arial" w:cs="Arial" w:eastAsia="Arial" w:hAnsi="Arial"/>
          <w:sz w:val="18"/>
          <w:szCs w:val="18"/>
          <w:i w:val="1"/>
          <w:iCs w:val="1"/>
          <w:color w:val="auto"/>
        </w:rPr>
        <w:t>Variable Interest Entity</w:t>
      </w:r>
      <w:r>
        <w:rPr>
          <w:rFonts w:ascii="Arial" w:cs="Arial" w:eastAsia="Arial" w:hAnsi="Arial"/>
          <w:sz w:val="18"/>
          <w:szCs w:val="18"/>
          <w:color w:val="auto"/>
        </w:rPr>
        <w:t>, for details.</w:t>
      </w:r>
    </w:p>
    <w:p>
      <w:pPr>
        <w:spacing w:after="0" w:line="18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of June 30, 2022, accounts receivable, net, from Falikang was of $0.7 million. As of December 31, 2021, accounts receivable, net, from Falikang was zero.</w:t>
      </w:r>
    </w:p>
    <w:p>
      <w:pPr>
        <w:spacing w:after="0" w:line="17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total deferred revenue from Falikang was zero as of June 30, 2022. The total deferred revenue from Falikang was $1.2 million as of December 31, 2021.</w:t>
      </w:r>
    </w:p>
    <w:p>
      <w:pPr>
        <w:spacing w:after="0" w:line="275" w:lineRule="exact"/>
        <w:rPr>
          <w:sz w:val="20"/>
          <w:szCs w:val="20"/>
          <w:color w:val="auto"/>
        </w:rPr>
      </w:pPr>
    </w:p>
    <w:p>
      <w:pPr>
        <w:ind w:right="8300" w:firstLine="8"/>
        <w:spacing w:after="0" w:line="383" w:lineRule="auto"/>
        <w:tabs>
          <w:tab w:leader="none" w:pos="36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Contract Obligations</w:t>
      </w:r>
    </w:p>
    <w:p>
      <w:pPr>
        <w:spacing w:after="0" w:line="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As of June 30, 2022, the Company had $94.1 million of operating lease liabilities.</w:t>
      </w:r>
    </w:p>
    <w:p>
      <w:pPr>
        <w:spacing w:after="0" w:line="21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of June 30, 2022, the Company had outstanding total non-cancelable purchase obligations of $57.7 million, including $33.2 million for manufacture and supply of pamrevlumab, $9.2 million for manufacture and supply of roxadustat, and $15.3 million for other purchases and programs. The Company expects to fulfill its commitments under these agreements in the normal course of business, and as such, no liability has been recorded.</w:t>
      </w:r>
    </w:p>
    <w:p>
      <w:pPr>
        <w:spacing w:after="0" w:line="14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Some of the Company’s license agreements provide for periodic maintenance fees over specified time periods, as well as payments by the Company upon the achievement of development, regulatory and commercial milestones. As of June 30, 2022, future milestone payments for research and preclinical stage development programs consisted of up to approximately $697.9 million in total potential future milestone payments under the Company’s license agreements with HiFiBiO (for Gal-9 and CCR8), Medarex, Inc. and others. These milestone payments generally become due and payable only upon the achievement of certain developmental, clinical, regulatory and/or commercial milestones. The event triggering such payment or obligation has not yet occurred.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Matters</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 The Company did not have any material accruals for any active legal action in its condensed consolidated balance sheets as of June 30, 2022, as the Company could not predict the ultimate outcome of these matters, or reasonably estimate the potential exposure.</w:t>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In April 2021, three putative securities class action complaints were filed against FibroGen and certain of its current and former executive officers (collectively, the “Defendants”) in the U.S. District Court for the Northern District of California. The lawsuits allege that Defendants violated the Securities Exchange Act of 1934 by making materially false and misleading statements regarding FibroGen’s Phase 3 clinical studies data and prospects for U.S. Food and Drug Administration approval between November 2019 and December 2020. Plaintiffs seek to represent a class of persons or entities that purchased FibroGen securities between November 8, 2019 and April 6, 2021. In May 2021, two additional putative securities class action complaints were filed against Defendants alleging the same claims. One of the lawsuits alleges that Defendants made materially false and misleading statements between October 2017 and December 2020 and seeks to represent a class of persons or entities that purchased FibroGen securities between October 18, 2017 and April 6, 2021. The other lawsuit alleges that Defendants made materially false and misleading statements between December 2018 and February 2020 and seeks to represent a class of persons or entities that purchased FibroGen securities between December 20, 2018 and April 6, 2021. All plaintiffs seek unspecified monetary damages and other relief. On August 30, 2021, the Court consolidated the actions and appointed a group of lead plaintiffs. Plaintiffs filed their consolidated amended complaint on October 29, 2021 and a corrected consolidated amended complaint on November 19, 2021 (the “Complaint”). The Complaint alleges false and misleading statements between December 2018 and June 2021 and seeks to represent a class of persons or entities that purchased FibroGen securities between December 20, 2018 and July 15, 2021. Defendants filed motions to dismiss the Complaint on January 14, 2022. Plaintiffs’ opposition to Defendants’ motions to dismiss was due March 4, 2022 and Defendants’ reply briefs were due April 8, 2022. On July 15, 2022, the court issued an order denying Defendants’ motions to dismiss. Defendants’ answer to the Complaint is due September 13, 2022.</w:t>
      </w:r>
    </w:p>
    <w:p>
      <w:pPr>
        <w:spacing w:after="0" w:line="17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On July 30, 2021, a purported shareholder derivative complaint was filed in the U.S. District Court for the Northern District of California. The complaint names as defendants ten of FibroGen’s current and former officers and directors, as well as FibroGen as nominal defendant, and asserts state and federal claims based on some of the same alleged misstatements as the securities class action complaint. The complaint seeks unspecified damages, attorneys’ fees, and other costs. The action remains stayed at this time. On December 27, 2021, a second purported shareholder derivative complaint was filed in the U.S. District Court for the District of Delaware. The complaint names seventeen of FibroGen’s current and former officers and directors as defendants, as well as FibroGen as nominal defendant, and asserts state and federal claims based on some of the same alleged misstatements as the securities class action complaint, as well as allegations of insider trading against certain defendants. The complaint seeks unspecified damages, attorneys’ fees, and other costs. The action remains stayed at this time. On April 14, 2022, a third purported shareholder derivative complaint was filed in the Delaware Court of Chancery. It names the same defendants as the second purported shareholder derivative action and asserts similar claims based upon similar allegations. The complaint seeks unspecified damages, attorneys’ fees, and other costs. Defendants have not been served in the third action.</w:t>
      </w:r>
    </w:p>
    <w:p>
      <w:pPr>
        <w:spacing w:after="0" w:line="171"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The Company believes that the claims are without merit and it intends to vigorously defend against them. However, any litigation is inherently uncertain, and any judgment or injunctive relief entered against FibroGen or any adverse settlement could materially and adversely impact its business, results of operations, financial condition, and prospects.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In the fourth quarter of 2021, the Company received a subpoena from the SEC requesting documents related to roxadustat’s pooled cardiovascular safety data. The Company is fully cooperating with the SEC. The Company cannot predict with any degree of certainty the outcome of the SEC’s investigation or determine the extent of any potential liabilities. The Company also cannot predict whether there will be any loss as a result of the investigation nor can it provide an estimate of the possible loss or range of loss. Any adverse outcome in this matter or any related proceeding could expose the Company to substantial damages, penalties, or reputational harm that may have a material adverse impact on the Company’s business, results of operations, financial condition, growth prospects, and price of its common stock.</w:t>
      </w:r>
    </w:p>
    <w:p>
      <w:pPr>
        <w:spacing w:after="0" w:line="17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 August 3, 2022, the Company's Board of Directors received two litigation demands from purported shareholders of the Company, asking the Board of Directors to investigate and take action against certain current and former officers and directors of the Company for alleged wrongdoing based on the same allegations in the pending derivative and securities class action lawsuits. The Company may in the future receive such additional demands.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04"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estimated fair value of these arrangements is minimal.</w:t>
      </w:r>
    </w:p>
    <w:p>
      <w:pPr>
        <w:spacing w:after="0" w:line="288"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08"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color w:val="auto"/>
        </w:rPr>
        <w:t>On July 26, 2022, the Company received a written evidence from China’s State Taxation Administration, which confirms the transfer of certain intellectual property rights in 2020 relating to the Company’s Chinese business between its wholly owned subsidiaries is exempted from value added tax (“VAT”). The Company evaluated this subsequent event and concluded that it required adjustment and disclosure in the condensed consolidated financial statements.</w:t>
      </w:r>
    </w:p>
    <w:p>
      <w:pPr>
        <w:jc w:val="both"/>
        <w:spacing w:after="0" w:line="256" w:lineRule="auto"/>
        <w:rPr>
          <w:sz w:val="20"/>
          <w:szCs w:val="20"/>
          <w:color w:val="auto"/>
        </w:rPr>
      </w:pPr>
      <w:r>
        <w:rPr>
          <w:rFonts w:ascii="Arial" w:cs="Arial" w:eastAsia="Arial" w:hAnsi="Arial"/>
          <w:sz w:val="17"/>
          <w:szCs w:val="17"/>
          <w:color w:val="auto"/>
        </w:rPr>
        <w:t>Specifically, the Company released the previously accrued input VAT and output VAT (with a zero net impact to the condensed consolidated balance sheet), the related VAT surcharge, and the estimated late payment fees. As a result, for the three months ended June 30, 2022, the Company recorded a reduction of $8.2 million to the accrued and other current liabilities, and a reduction of $2.3 million to the other assets in the condensed consolidated balance sheet, and a reduction of $6.0 million to other expenses in the condensed consolidated statement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2021 filed with the SEC on February 28, 2022 and as amended on March 4, 2022 (“2021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spacing w:after="0" w:line="251" w:lineRule="auto"/>
        <w:rPr>
          <w:sz w:val="20"/>
          <w:szCs w:val="20"/>
          <w:color w:val="auto"/>
        </w:rPr>
      </w:pPr>
      <w:r>
        <w:rPr>
          <w:rFonts w:ascii="Arial" w:cs="Arial" w:eastAsia="Arial" w:hAnsi="Arial"/>
          <w:sz w:val="17"/>
          <w:szCs w:val="17"/>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 and are cautioned not to place undue reliance on such forward-looking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08"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are headquartered in San Francisco, California, with subsidiary offices in Beijing and Shanghai, People’s Republic of China (“China”). We are a leading biopharmaceutical company discovering, developing and commercializing a pipeline of first-in-class therapeutics. We apply our pioneering expertise in hypoxia-inducible factor (“HIF”) biology, 2-oxoglutarate enzymology, and connective tissue growth factor biology to advance innovative medicines for the treatment of anemia, fibrotic disease, and cancer.</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 pipeline of late-stage clinical programs as well as preclinical drug candidates at various stages of development that include both small molecules and biologics. We have leveraged our internally developed 2-oxoglutarate and connective tissue growth factor biology expertise as well as in-licensing of additional programs, such as antibodies targeting Galectin-9 protein (“Gal-9”) and C-C Motif Chemokine Receptor 8 (“CCR8”), to further enhance our late-stage preclinical pipeline. Our goal is to build a diversified pipeline with novel drugs that will address unmet patient needs in oncology, immunology, and fibrosis.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00" w:type="dxa"/>
            <w:vAlign w:val="bottom"/>
          </w:tcPr>
          <w:p>
            <w:pPr>
              <w:spacing w:after="0"/>
              <w:rPr>
                <w:sz w:val="16"/>
                <w:szCs w:val="16"/>
                <w:color w:val="auto"/>
              </w:rPr>
            </w:pPr>
          </w:p>
        </w:tc>
        <w:tc>
          <w:tcPr>
            <w:tcW w:w="360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330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10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00" w:type="dxa"/>
            <w:vAlign w:val="bottom"/>
            <w:gridSpan w:val="5"/>
          </w:tcPr>
          <w:p>
            <w:pPr>
              <w:jc w:val="right"/>
              <w:ind w:right="548"/>
              <w:spacing w:after="0"/>
              <w:rPr>
                <w:sz w:val="20"/>
                <w:szCs w:val="20"/>
                <w:color w:val="auto"/>
              </w:rPr>
            </w:pPr>
            <w:r>
              <w:rPr>
                <w:rFonts w:ascii="Arial" w:cs="Arial" w:eastAsia="Arial" w:hAnsi="Arial"/>
                <w:sz w:val="14"/>
                <w:szCs w:val="14"/>
                <w:b w:val="1"/>
                <w:bCs w:val="1"/>
                <w:color w:val="auto"/>
                <w:w w:val="98"/>
              </w:rPr>
              <w:t>(in thousands, except for per share data)</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Result of Operations</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100" w:type="dxa"/>
            <w:vAlign w:val="bottom"/>
          </w:tcPr>
          <w:p>
            <w:pPr>
              <w:ind w:left="20"/>
              <w:spacing w:after="0" w:line="202" w:lineRule="exact"/>
              <w:rPr>
                <w:sz w:val="20"/>
                <w:szCs w:val="20"/>
                <w:color w:val="auto"/>
              </w:rPr>
            </w:pPr>
            <w:r>
              <w:rPr>
                <w:rFonts w:ascii="Arial" w:cs="Arial" w:eastAsia="Arial" w:hAnsi="Arial"/>
                <w:sz w:val="18"/>
                <w:szCs w:val="18"/>
                <w:color w:val="auto"/>
              </w:rPr>
              <w:t>Revenue</w:t>
            </w:r>
          </w:p>
        </w:tc>
        <w:tc>
          <w:tcPr>
            <w:tcW w:w="920" w:type="dxa"/>
            <w:vAlign w:val="bottom"/>
          </w:tcPr>
          <w:p>
            <w:pPr>
              <w:jc w:val="right"/>
              <w:ind w:right="739"/>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29,806</w:t>
            </w:r>
          </w:p>
        </w:tc>
        <w:tc>
          <w:tcPr>
            <w:tcW w:w="220" w:type="dxa"/>
            <w:vAlign w:val="bottom"/>
          </w:tcPr>
          <w:p>
            <w:pPr>
              <w:spacing w:after="0"/>
              <w:rPr>
                <w:sz w:val="17"/>
                <w:szCs w:val="17"/>
                <w:color w:val="auto"/>
              </w:rPr>
            </w:pP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24,364</w:t>
            </w:r>
          </w:p>
        </w:tc>
        <w:tc>
          <w:tcPr>
            <w:tcW w:w="28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90,633</w:t>
            </w:r>
          </w:p>
        </w:tc>
        <w:tc>
          <w:tcPr>
            <w:tcW w:w="2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62,793</w:t>
            </w:r>
          </w:p>
        </w:tc>
        <w:tc>
          <w:tcPr>
            <w:tcW w:w="100" w:type="dxa"/>
            <w:vAlign w:val="bottom"/>
          </w:tcPr>
          <w:p>
            <w:pPr>
              <w:spacing w:after="0"/>
              <w:rPr>
                <w:sz w:val="17"/>
                <w:szCs w:val="17"/>
                <w:color w:val="auto"/>
              </w:rPr>
            </w:pPr>
          </w:p>
        </w:tc>
      </w:tr>
      <w:tr>
        <w:trPr>
          <w:trHeight w:val="203"/>
        </w:trPr>
        <w:tc>
          <w:tcPr>
            <w:tcW w:w="4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costs and expenses</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108,030</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158,199</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231,849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267,056</w:t>
            </w:r>
          </w:p>
        </w:tc>
        <w:tc>
          <w:tcPr>
            <w:tcW w:w="100" w:type="dxa"/>
            <w:vAlign w:val="bottom"/>
            <w:shd w:val="clear" w:color="auto" w:fill="CFF0FC"/>
          </w:tcPr>
          <w:p>
            <w:pPr>
              <w:spacing w:after="0"/>
              <w:rPr>
                <w:sz w:val="17"/>
                <w:szCs w:val="17"/>
                <w:color w:val="auto"/>
              </w:rPr>
            </w:pPr>
          </w:p>
        </w:tc>
      </w:tr>
      <w:tr>
        <w:trPr>
          <w:trHeight w:val="203"/>
        </w:trPr>
        <w:tc>
          <w:tcPr>
            <w:tcW w:w="410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92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4"/>
              </w:rPr>
              <w:t>(72,624 )</w:t>
            </w:r>
          </w:p>
        </w:tc>
        <w:tc>
          <w:tcPr>
            <w:tcW w:w="320" w:type="dxa"/>
            <w:vAlign w:val="bottom"/>
          </w:tcPr>
          <w:p>
            <w:pPr>
              <w:spacing w:after="0"/>
              <w:rPr>
                <w:sz w:val="17"/>
                <w:szCs w:val="17"/>
                <w:color w:val="auto"/>
              </w:rPr>
            </w:pPr>
          </w:p>
        </w:tc>
        <w:tc>
          <w:tcPr>
            <w:tcW w:w="15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(133,988 )</w:t>
            </w:r>
          </w:p>
        </w:tc>
        <w:tc>
          <w:tcPr>
            <w:tcW w:w="240" w:type="dxa"/>
            <w:vAlign w:val="bottom"/>
          </w:tcPr>
          <w:p>
            <w:pPr>
              <w:spacing w:after="0"/>
              <w:rPr>
                <w:sz w:val="17"/>
                <w:szCs w:val="17"/>
                <w:color w:val="auto"/>
              </w:rPr>
            </w:pPr>
          </w:p>
        </w:tc>
        <w:tc>
          <w:tcPr>
            <w:tcW w:w="154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(135,829 )</w:t>
            </w:r>
          </w:p>
        </w:tc>
        <w:tc>
          <w:tcPr>
            <w:tcW w:w="160" w:type="dxa"/>
            <w:vAlign w:val="bottom"/>
          </w:tcPr>
          <w:p>
            <w:pPr>
              <w:spacing w:after="0"/>
              <w:rPr>
                <w:sz w:val="17"/>
                <w:szCs w:val="17"/>
                <w:color w:val="auto"/>
              </w:rPr>
            </w:pPr>
          </w:p>
        </w:tc>
        <w:tc>
          <w:tcPr>
            <w:tcW w:w="1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(205,743 )</w:t>
            </w:r>
          </w:p>
        </w:tc>
      </w:tr>
      <w:tr>
        <w:trPr>
          <w:trHeight w:val="203"/>
        </w:trPr>
        <w:tc>
          <w:tcPr>
            <w:tcW w:w="4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 per share - basic and diluted</w:t>
            </w:r>
          </w:p>
        </w:tc>
        <w:tc>
          <w:tcPr>
            <w:tcW w:w="920" w:type="dxa"/>
            <w:vAlign w:val="bottom"/>
            <w:shd w:val="clear" w:color="auto" w:fill="CFF0FC"/>
          </w:tcPr>
          <w:p>
            <w:pPr>
              <w:jc w:val="right"/>
              <w:ind w:right="739"/>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(0.78 )</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(1.45 )</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88"/>
              <w:spacing w:after="0" w:line="202" w:lineRule="exact"/>
              <w:rPr>
                <w:sz w:val="20"/>
                <w:szCs w:val="20"/>
                <w:color w:val="auto"/>
              </w:rPr>
            </w:pPr>
            <w:r>
              <w:rPr>
                <w:rFonts w:ascii="Arial" w:cs="Arial" w:eastAsia="Arial" w:hAnsi="Arial"/>
                <w:sz w:val="18"/>
                <w:szCs w:val="18"/>
                <w:color w:val="auto"/>
              </w:rPr>
              <w:t>(1.46 )</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(2.24 )</w:t>
            </w:r>
          </w:p>
        </w:tc>
      </w:tr>
      <w:tr>
        <w:trPr>
          <w:trHeight w:val="594"/>
        </w:trPr>
        <w:tc>
          <w:tcPr>
            <w:tcW w:w="4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 2021</w:t>
            </w:r>
          </w:p>
        </w:tc>
        <w:tc>
          <w:tcPr>
            <w:tcW w:w="100" w:type="dxa"/>
            <w:vAlign w:val="bottom"/>
          </w:tcPr>
          <w:p>
            <w:pPr>
              <w:spacing w:after="0"/>
              <w:rPr>
                <w:sz w:val="24"/>
                <w:szCs w:val="24"/>
                <w:color w:val="auto"/>
              </w:rPr>
            </w:pPr>
          </w:p>
        </w:tc>
      </w:tr>
      <w:tr>
        <w:trPr>
          <w:trHeight w:val="169"/>
        </w:trPr>
        <w:tc>
          <w:tcPr>
            <w:tcW w:w="4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ind w:right="37"/>
              <w:spacing w:after="0"/>
              <w:rPr>
                <w:sz w:val="20"/>
                <w:szCs w:val="20"/>
                <w:color w:val="auto"/>
              </w:rPr>
            </w:pPr>
            <w:r>
              <w:rPr>
                <w:rFonts w:ascii="Arial" w:cs="Arial" w:eastAsia="Arial" w:hAnsi="Arial"/>
                <w:sz w:val="14"/>
                <w:szCs w:val="14"/>
                <w:b w:val="1"/>
                <w:bCs w:val="1"/>
                <w:color w:val="auto"/>
              </w:rPr>
              <w:t>(in</w:t>
            </w:r>
          </w:p>
        </w:tc>
        <w:tc>
          <w:tcPr>
            <w:tcW w:w="1880" w:type="dxa"/>
            <w:vAlign w:val="bottom"/>
            <w:gridSpan w:val="3"/>
          </w:tcPr>
          <w:p>
            <w:pPr>
              <w:jc w:val="right"/>
              <w:ind w:right="1194"/>
              <w:spacing w:after="0"/>
              <w:rPr>
                <w:sz w:val="20"/>
                <w:szCs w:val="20"/>
                <w:color w:val="auto"/>
              </w:rPr>
            </w:pPr>
            <w:r>
              <w:rPr>
                <w:rFonts w:ascii="Arial" w:cs="Arial" w:eastAsia="Arial" w:hAnsi="Arial"/>
                <w:sz w:val="14"/>
                <w:szCs w:val="14"/>
                <w:b w:val="1"/>
                <w:bCs w:val="1"/>
                <w:color w:val="auto"/>
                <w:w w:val="76"/>
              </w:rPr>
              <w:t>thousands)</w:t>
            </w:r>
          </w:p>
        </w:tc>
        <w:tc>
          <w:tcPr>
            <w:tcW w:w="100" w:type="dxa"/>
            <w:vAlign w:val="bottom"/>
          </w:tcPr>
          <w:p>
            <w:pPr>
              <w:spacing w:after="0"/>
              <w:rPr>
                <w:sz w:val="14"/>
                <w:szCs w:val="14"/>
                <w:color w:val="auto"/>
              </w:rPr>
            </w:pPr>
          </w:p>
        </w:tc>
      </w:tr>
      <w:tr>
        <w:trPr>
          <w:trHeight w:val="203"/>
        </w:trPr>
        <w:tc>
          <w:tcPr>
            <w:tcW w:w="4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Balance Sheet</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10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167,758</w:t>
            </w:r>
          </w:p>
        </w:tc>
        <w:tc>
          <w:tcPr>
            <w:tcW w:w="2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171,223</w:t>
            </w:r>
          </w:p>
        </w:tc>
        <w:tc>
          <w:tcPr>
            <w:tcW w:w="100" w:type="dxa"/>
            <w:vAlign w:val="bottom"/>
          </w:tcPr>
          <w:p>
            <w:pPr>
              <w:spacing w:after="0"/>
              <w:rPr>
                <w:sz w:val="17"/>
                <w:szCs w:val="17"/>
                <w:color w:val="auto"/>
              </w:rPr>
            </w:pPr>
          </w:p>
        </w:tc>
      </w:tr>
      <w:tr>
        <w:trPr>
          <w:trHeight w:val="203"/>
        </w:trPr>
        <w:tc>
          <w:tcPr>
            <w:tcW w:w="4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Short-term and long-term investments</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316,295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401,763</w:t>
            </w:r>
          </w:p>
        </w:tc>
        <w:tc>
          <w:tcPr>
            <w:tcW w:w="100" w:type="dxa"/>
            <w:vAlign w:val="bottom"/>
            <w:shd w:val="clear" w:color="auto" w:fill="CFF0FC"/>
          </w:tcPr>
          <w:p>
            <w:pPr>
              <w:spacing w:after="0"/>
              <w:rPr>
                <w:sz w:val="17"/>
                <w:szCs w:val="17"/>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33,573</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17,401</w:t>
            </w:r>
          </w:p>
        </w:tc>
        <w:tc>
          <w:tcPr>
            <w:tcW w:w="100" w:type="dxa"/>
            <w:vAlign w:val="bottom"/>
          </w:tcPr>
          <w:p>
            <w:pPr>
              <w:spacing w:after="0"/>
              <w:rPr>
                <w:sz w:val="20"/>
                <w:szCs w:val="20"/>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Our revenue for the three and six months ended June 30, 2022 included the revenue recognized related to the following:</w:t>
      </w:r>
    </w:p>
    <w:p>
      <w:pPr>
        <w:spacing w:after="0" w:line="104" w:lineRule="exact"/>
        <w:rPr>
          <w:sz w:val="20"/>
          <w:szCs w:val="20"/>
          <w:color w:val="auto"/>
        </w:rPr>
      </w:pPr>
    </w:p>
    <w:p>
      <w:pPr>
        <w:ind w:left="520" w:right="40" w:hanging="512"/>
        <w:spacing w:after="0" w:line="2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$5.2 million and $16.2 million development revenue recognized under our collaboration agreements with our partners Astellas and AstraZeneca AB (“AstraZeneca”);</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$23.3 million and $42.1 million of net product revenue from roxadustat commercial sales in China;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$1.1 million and $8.7 million of drug product revenue related to active pharmaceutical ingredient (“API”) deliveries to Astellas.</w:t>
      </w:r>
    </w:p>
    <w:p>
      <w:pPr>
        <w:spacing w:after="0" w:line="212"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Our revenue for the six months ended June 30, 2022 also included $25.0 million regulatory milestone recognized during the first quarter of 2022 under our collaboration agreements with our partner Astellas Pharma Inc. (“Astellas”) associated with the approval of EVRENZO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(roxadustat) in Russia. Of this amount, $22.6 million was recognized as license revenue and the remainder included as development revenue.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As a comparison, our revenue for the three and six months ended June 30, 2021 included the revenue recognized related to the following:</w:t>
      </w:r>
    </w:p>
    <w:p>
      <w:pPr>
        <w:spacing w:after="0" w:line="104"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$19.6 million and $34.2 million of development revenue recognized under our collaboration agreements with our partners Astellas and AstraZeneca;</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$13.4 million and $28.7 million of net product revenue from roxadustat commercial sales in China; and</w:t>
      </w:r>
    </w:p>
    <w:p>
      <w:pPr>
        <w:spacing w:after="0" w:line="103" w:lineRule="exact"/>
        <w:rPr>
          <w:rFonts w:ascii="Arial" w:cs="Arial" w:eastAsia="Arial" w:hAnsi="Arial"/>
          <w:sz w:val="18"/>
          <w:szCs w:val="18"/>
          <w:color w:val="auto"/>
        </w:rPr>
      </w:pPr>
    </w:p>
    <w:p>
      <w:pPr>
        <w:ind w:left="520" w:right="62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$(8.6) million and $(0.2) million of drug product revenue primarily resulted from the deferred considerations of roxadustat bulk drug or API deliveries to AstraZeneca and Astellas.</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Operating costs and expenses for the three months ended June 30, 2022 decreased compared to the same period a year ago as a result of the net effect of the following:</w:t>
      </w:r>
    </w:p>
    <w:p>
      <w:pPr>
        <w:spacing w:after="0" w:line="63" w:lineRule="exact"/>
        <w:rPr>
          <w:sz w:val="20"/>
          <w:szCs w:val="20"/>
          <w:color w:val="auto"/>
        </w:rPr>
      </w:pPr>
    </w:p>
    <w:p>
      <w:pPr>
        <w:ind w:left="520" w:right="220" w:hanging="512"/>
        <w:spacing w:after="0" w:line="261"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$25.0 million for acquired in-process research and development asset from HiFiBiO Therapeutics (“HiFiBiO”) in the prior year period, which did not recur in the current year period;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$13.4 million lower drug development expenses associated with drug substance and drug product manufacturing activities related to pamrevlumab;</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$6.1 million lower clinical trial expenses associated with roxadustat post-approval safety studies and Phase 3 trials for pamrevlumab;</w:t>
      </w:r>
    </w:p>
    <w:p>
      <w:pPr>
        <w:spacing w:after="0" w:line="103" w:lineRule="exact"/>
        <w:rPr>
          <w:rFonts w:ascii="Arial" w:cs="Arial" w:eastAsia="Arial" w:hAnsi="Arial"/>
          <w:sz w:val="18"/>
          <w:szCs w:val="18"/>
          <w:color w:val="auto"/>
        </w:rPr>
      </w:pPr>
    </w:p>
    <w:p>
      <w:pPr>
        <w:jc w:val="both"/>
        <w:ind w:left="520" w:right="120" w:hanging="512"/>
        <w:spacing w:after="0" w:line="248"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$4.1 million lower employee-related expenses and $2.3 million lower stock-based compensation expenses primarily due to lower headcount as part of the cost reduction effort we started to implement in the second half of 2021 following the complete response letter (“CRL”) for roxadustat in the United States (“U.S.”); and</w:t>
      </w:r>
    </w:p>
    <w:p>
      <w:pPr>
        <w:spacing w:after="0" w:line="73"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$3.7 million higher cost of goods sold due to higher roxadustat product sales.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Operating costs and expenses for the six months ended June 30, 2022 decreased compared to the same period a year ago as a result of the net effect of the following:</w:t>
      </w:r>
    </w:p>
    <w:p>
      <w:pPr>
        <w:spacing w:after="0" w:line="63" w:lineRule="exact"/>
        <w:rPr>
          <w:sz w:val="20"/>
          <w:szCs w:val="20"/>
          <w:color w:val="auto"/>
        </w:rPr>
      </w:pPr>
    </w:p>
    <w:p>
      <w:pPr>
        <w:ind w:left="520" w:right="100" w:hanging="512"/>
        <w:spacing w:after="0" w:line="261"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$25.0 million for acquired in-process research and development asset from HiFiBiO in the prior year period, which did not recur in the current year period;</w:t>
      </w:r>
    </w:p>
    <w:p>
      <w:pPr>
        <w:spacing w:after="0" w:line="62" w:lineRule="exact"/>
        <w:rPr>
          <w:rFonts w:ascii="Arial" w:cs="Arial" w:eastAsia="Arial" w:hAnsi="Arial"/>
          <w:sz w:val="18"/>
          <w:szCs w:val="18"/>
          <w:color w:val="auto"/>
        </w:rPr>
      </w:pPr>
    </w:p>
    <w:p>
      <w:pPr>
        <w:ind w:left="520" w:right="120" w:hanging="512"/>
        <w:spacing w:after="0" w:line="261"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$7.0 million lower employee-related expenses and $4.6 million lower stock-based compensation expenses primarily due to lower headcount as part of the cost reduction effort mentioned above;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$4.6 million higher cost of goods sold due to higher roxadustat product sales.</w:t>
      </w:r>
    </w:p>
    <w:p>
      <w:pPr>
        <w:spacing w:after="0" w:line="212"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color w:val="auto"/>
        </w:rPr>
        <w:t>For the three and six months ended June 30, 2022, we had a net loss of $72.6 million and $135.8 million, respectively, or a net loss per basic and diluted share of $0.78 and $1.46, respectively, as compared to a net loss of $134.0 million and $205.7 million for the same periods a year ago, due to increases in revenue, and decreases in operating costs and expenses as discussed above.</w:t>
      </w:r>
    </w:p>
    <w:p>
      <w:pPr>
        <w:spacing w:after="0" w:line="18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Cash and cash equivalents, investments, and accounts receivable totaled $517.6 million at June 30, 2022, a decrease of $72.8 million from December 31, 2021, primarily due to the cash used in operations and investment in our preclinical pipeline.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Development Programs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an overview of our clinical and commercial programs.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Chronic Kidney Disease</w:t>
      </w:r>
    </w:p>
    <w:p>
      <w:pPr>
        <w:spacing w:after="0" w:line="10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Roxadustat is our most advanced product, an oral small molecule inhibitor of HIF prolyl hydroxylase (“HIF-PH”) activity that acts by stimulating the body’s natural pathway of erythropoiesis, or red blood cell production.</w:t>
      </w:r>
    </w:p>
    <w:p>
      <w:pPr>
        <w:spacing w:after="0" w:line="171" w:lineRule="exact"/>
        <w:rPr>
          <w:sz w:val="20"/>
          <w:szCs w:val="20"/>
          <w:color w:val="auto"/>
        </w:rPr>
      </w:pPr>
    </w:p>
    <w:p>
      <w:pPr>
        <w:jc w:val="both"/>
        <w:ind w:right="160"/>
        <w:spacing w:after="0" w:line="216" w:lineRule="exact"/>
        <w:rPr>
          <w:sz w:val="20"/>
          <w:szCs w:val="20"/>
          <w:color w:val="auto"/>
        </w:rPr>
      </w:pPr>
      <w:r>
        <w:rPr>
          <w:rFonts w:ascii="Arial" w:cs="Arial" w:eastAsia="Arial" w:hAnsi="Arial"/>
          <w:sz w:val="18"/>
          <w:szCs w:val="18"/>
          <w:color w:val="auto"/>
        </w:rPr>
        <w:t>Roxadustat continues to be approved in jurisdictions throughout the world, including recent marketing approvals in Mexico and South Africa. Roxadustat (</w:t>
      </w:r>
      <w:r>
        <w:rPr>
          <w:rFonts w:ascii="SimSun" w:cs="SimSun" w:eastAsia="SimSun" w:hAnsi="SimSun"/>
          <w:sz w:val="18"/>
          <w:szCs w:val="18"/>
          <w:color w:val="auto"/>
        </w:rPr>
        <w:t>爱瑞卓</w:t>
      </w:r>
      <w:r>
        <w:rPr>
          <w:rFonts w:ascii="Arial" w:cs="Arial" w:eastAsia="Arial" w:hAnsi="Arial"/>
          <w:sz w:val="18"/>
          <w:szCs w:val="18"/>
          <w:color w:val="auto"/>
        </w:rPr>
        <w:t>®, EVRENZO</w:t>
      </w:r>
      <w:r>
        <w:rPr>
          <w:rFonts w:ascii="Arial" w:cs="Arial" w:eastAsia="Arial" w:hAnsi="Arial"/>
          <w:sz w:val="24"/>
          <w:szCs w:val="24"/>
          <w:color w:val="auto"/>
          <w:vertAlign w:val="superscript"/>
        </w:rPr>
        <w:t>TM</w:t>
      </w:r>
      <w:r>
        <w:rPr>
          <w:rFonts w:ascii="Arial" w:cs="Arial" w:eastAsia="Arial" w:hAnsi="Arial"/>
          <w:sz w:val="18"/>
          <w:szCs w:val="18"/>
          <w:color w:val="auto"/>
        </w:rPr>
        <w:t>) is now approved in China, Europe, Japan, and numerous other countries for the treatment of anemia in chronic kidney disease ("CKD") patients on dialysis and those not on dialysis.</w:t>
      </w:r>
    </w:p>
    <w:p>
      <w:pPr>
        <w:spacing w:after="0" w:line="190" w:lineRule="exact"/>
        <w:rPr>
          <w:sz w:val="20"/>
          <w:szCs w:val="20"/>
          <w:color w:val="auto"/>
        </w:rPr>
      </w:pPr>
    </w:p>
    <w:p>
      <w:pPr>
        <w:ind w:right="40"/>
        <w:spacing w:after="0" w:line="208" w:lineRule="exact"/>
        <w:rPr>
          <w:sz w:val="20"/>
          <w:szCs w:val="20"/>
          <w:color w:val="auto"/>
        </w:rPr>
      </w:pPr>
      <w:r>
        <w:rPr>
          <w:rFonts w:ascii="Arial" w:cs="Arial" w:eastAsia="Arial" w:hAnsi="Arial"/>
          <w:sz w:val="18"/>
          <w:szCs w:val="18"/>
          <w:color w:val="auto"/>
        </w:rPr>
        <w:t xml:space="preserve">In China, roxadustat (tradename: </w:t>
      </w:r>
      <w:r>
        <w:rPr>
          <w:rFonts w:ascii="SimSun" w:cs="SimSun" w:eastAsia="SimSun" w:hAnsi="SimSun"/>
          <w:sz w:val="18"/>
          <w:szCs w:val="18"/>
          <w:color w:val="auto"/>
        </w:rPr>
        <w:t>爱瑞卓</w:t>
      </w:r>
      <w:r>
        <w:rPr>
          <w:rFonts w:ascii="Arial" w:cs="Arial" w:eastAsia="Arial" w:hAnsi="Arial"/>
          <w:sz w:val="18"/>
          <w:szCs w:val="18"/>
          <w:color w:val="auto"/>
        </w:rPr>
        <w:t>®) has seen significant volume growth in the treatment of anemia caused by CKD in non-dialysis and dialysis patients. In the second quarter of 2022, roxadustat achieved an over 80% increase in sales volume relative to the second quarter of 2021, with net sales offset by the reduced price associated with the 2021 National Reimbursement Drug List. As of May 2022, roxadustat was the top CKD anemia brand in China with approximately 33% value share within the segment of erythropoiesis stimulating agents (“ESAs”) and HIF-PH inhibitors (roxadustat is the only HIF-PH inhibitor on the market in China).</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Myelodysplastic Syndromes</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continue to enroll MATTERHORN, our Phase 2/3 placebo-controlled, double-blind clinical trial to evaluate the safety and efficacy of roxadustat for treatment of anemia in myelodysplastic syndromes (“MDS”) in the U.S. and Europe. This trial is studying roxadustat in transfusion-dependent, lower-risk MDS patients, in which subjects are randomized 3:2 to receive roxadustat or placebo three-times-weekly. The primary endpoint is the proportion of patients who achieve transfusion independence by 28 weeks with secondary endpoints and safety evaluated at 52 weeks. We expect topline data from this study in the first half of 2023.</w:t>
      </w:r>
    </w:p>
    <w:p>
      <w:pPr>
        <w:spacing w:after="0" w:line="18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have discontinued recruitment of the Phase 3 study of roxadustat for the treatment of MDS in China due to difficulties with enrollment. Patients already randomized on the study will continue treatment under the study protocol. We will revisit our regulatory plans for roxadustat for the treatment of MDS in China at the conclusion of the MATTERHORN study.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Chemotherapy-Induced Anemia</w:t>
      </w:r>
    </w:p>
    <w:p>
      <w:pPr>
        <w:spacing w:after="0" w:line="104"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We continue to enroll our randomized, active controlled Phase 3 clinical trial in China of roxadustat in CIA for non-myeloid malignancies. The study will enroll approximately 146 subjects and the primary efficacy endpoint is the mean change in hemoglobin level from baseline to the level averaged over Weeks 9-13.</w:t>
      </w:r>
    </w:p>
    <w:p>
      <w:pPr>
        <w:spacing w:after="0" w:line="18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Currently there are no plans to move forward with CIA in other territories. We may revisit that decision once we review the results from the study in China. We released additional data from WHITNEY, our Phase 2 clinical trial of roxadustat in the U.S. in chemotherapy-induced anemia (“CIA”), at the 2022 American Society of Clinical Oncology annual meeting.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Monoclonal Antibody Targeting Connective Tissue Growth Factor</w:t>
      </w:r>
    </w:p>
    <w:p>
      <w:pPr>
        <w:spacing w:after="0" w:line="104"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color w:val="auto"/>
        </w:rPr>
        <w:t>Pamrevlumab is our first-in-class antibody developed to inhibit the activity of connective tissue growth factor, a common factor in fibrotic and fibro-proliferative disorders characterized by persistent and excessive scarring that can lead to organ dysfunction and failure.</w:t>
      </w:r>
    </w:p>
    <w:p>
      <w:pPr>
        <w:spacing w:after="0" w:line="147"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U.S. Food and Drug Administration has granted Fast Track and Orphan Drug designations to pamrevlumab for the treatment of idiopathic pulmonary fibrosis (“IPF”), locally advanced unresectable pancreatic cancer ("LAPC"), and Duchenne muscular dystrophy (“DMD”) (with DMD receiving Rare Pediatric Disease designation).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for the Treatment of Idiopathic Pulmonary Fibrosis</w:t>
      </w:r>
    </w:p>
    <w:p>
      <w:pPr>
        <w:spacing w:after="0" w:line="104"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We are conducting two randomized, double-blind, placebo-controlled, Phase 3 studies of pamrevlumab in IPF. Each study has a primary efficacy endpoint for the U.S. of change from baseline in forced vital capacity (“FVC”). For Europe, these same trials utilize a different primary efficacy endpoint of disease progression (defined by a decline in FVC percent predicted of greater than or equal to 10% or death), with change of FVC as the key secondary endpoint. Other secondary endpoints will include clinical outcomes of disease progression, acute IPF exacerbations, patient reported outcomes, and quantitative changes in lung fibrosis volume from baseline.</w:t>
      </w:r>
    </w:p>
    <w:p>
      <w:pPr>
        <w:spacing w:after="0" w:line="18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completed enrollment of ZEPHYRUS-1, our first Phase 3 trial of pamrevlumab in 356 IPF patients, and we expect topline data from ZEPHYRUS-1 in mid-2023.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enroll patients in ZEPHYRUS-2, our second Phase 3 trial of pamrevlumab in approximately 340 IPF patients.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for the Treatment of Locally Advanced Unresectable Pancreatic Cancer</w:t>
      </w:r>
    </w:p>
    <w:p>
      <w:pPr>
        <w:spacing w:after="0" w:line="104"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We completed enrollment of LAPIS, our double-blind placebo-controlled Phase 3 clinical program for pamrevlumab as a neoadjuvant therapy for LAPC. We enrolled 284 patients, randomized at a 1:1 ratio to receive either pamrevlumab or placebo, in each case in combination with chemotherapy (either FOLFIRINOX or gemcitabine plus nab-paclitaxel). After conducting the interim analysis of event-free survival, we are not filing a Biologics License Application for accelerated approval. As planned, we will continue the study to its primary endpoint of overall survival, with topline data expected in the first half of 2024.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for the Treatment of Metastatic Pancreatic Cancer</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June 2021 the Pancreatic Cancer Action Network's (PanCAN) Precision PromiseSM adaptive trial platform included pamrevlumab, with standard of care chemotherapy treatments for pancreatic cancer (gemcitabine and Abraxane®), in its study for patients with metastatic pancreatic cancer. The combination therapy is offered to patients as either a first- or second-line treatment option (the first experimental treatment arm to be offered as a first-line treatment in PanCAN’s innovative Precision Promise trial). The objective of Precision Promise is to expedite the study and approval of promising therapies for pancreatic cancer by bringing multiple stakeholders together, including academic, industry and regulatory entities.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for the Treatment of Duchenne Muscular Dystrophy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Non-Ambulatory Patients</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have completed enrollment of LELANTOS-1, our Phase 3 clinical trial evaluating pamrevlumab in combination with systemic corticosteroids as a treatment for DMD. LELANTOS-1 is a double-blind, placebo-controlled trial in 99 non-ambulatory DMD patients. Patients are randomized at a 1:1 ratio to pamrevlumab or placebo for a treatment period of 52 weeks. The primary endpoint will assess change in upper limb function from baseline to Week 52 and additional endpoints will include pulmonary, cardiac, performance, and fibrosis assessments. We expect topline data from this study in the first half of 2023.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Ambulatory Patients</w:t>
      </w:r>
    </w:p>
    <w:p>
      <w:pPr>
        <w:spacing w:after="0" w:line="104"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In the second quarter of 2022, we completed enrollment of our double-blind, placebo-controlled Phase 3 clinical trial, LELANTOS-2, evaluating pamrevlumab in combination with systemic corticosteroids in 73 ambulatory DMD patients. Patients aged 6-12 are randomized at a 1:1 ratio to pamrevlumab or placebo for a treatment period of 52 weeks. The primary efficacy endpoint will assess ambulatory function, measured by the change in North Star Ambulatory Assessment from baseline to Week 52. We expect topline data from this study in the second half of 2023.</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08"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color w:val="auto"/>
        </w:rPr>
        <w:t xml:space="preserve">Our current and future research, development, manufacturing and commercialization efforts with respect to roxadustat depend on funds from our collaboration agreements with Astellas and AstraZeneca. See Note 2,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 to the condensed consolidated financial statements for details.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Astellas</w:t>
      </w:r>
    </w:p>
    <w:p>
      <w:pPr>
        <w:spacing w:after="0" w:line="10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June 2005, we entered into a collaboration agreement with Astellas for the development and commercialization (but not manufacture) of roxadustat for the treatment of anemia in Japan (“Japan Agreement”). In April 2006, we entered into the Europe Agreement with Astellas for roxadustat for the treatment of anemia in Europe, the Commonwealth of Independent States, the Middle East, and South Africa (“Europe Agreement”). Under these agreements, the aggregate amount of such consideration received through June 30, 2022 totaled $790.1 million.</w:t>
      </w:r>
    </w:p>
    <w:p>
      <w:pPr>
        <w:spacing w:after="0" w:line="193"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On March 21, 2022, EVRENZO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(roxadustat) was registered with the Russian Ministry of Health. We evaluated the regulatory milestone payment associated with the approval in Russia under the Europe Agreement and concluded that this milestone was achieved in the first quarter of 2022. Accordingly, the consideration of $25.0 million associated with this milestone was included in the transaction price and allocated to performance obligations under the Europe Agreement, all of which was recognized as revenue during the first quarter of 2022 from performance obligations satisfied.</w:t>
      </w:r>
    </w:p>
    <w:p>
      <w:pPr>
        <w:spacing w:after="0" w:line="17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2018, FibroGen and Astellas entered into an amendment to the Japan Agreement that allows Astellas to manufacture roxadustat drug product for commercialization in Japan (the “Japan Amendment”). The related drug product revenue was immaterial for the three months ended June 30, 2022, $(2.0) million for three months ended June 30, 2021, and $7.6 million and $2.1 million for six months ended June 30, 2022 and 2021, respectively.</w:t>
      </w:r>
    </w:p>
    <w:p>
      <w:pPr>
        <w:spacing w:after="0" w:line="164"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During the first quarter of 2021, we entered into an EU Supply Agreement under the Europe Agreement with Astellas to define general forecast, order, supply and payment terms for Astellas to purchase roxadustat bulk drug product from FibroGen in support of commercial supplies. The related drug product revenue was $1.1 million for the three and six months ended June 30, 2022, respectively. There was no related drug product revenue for the three and six months ended June 30,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AstraZeneca</w:t>
      </w:r>
    </w:p>
    <w:p>
      <w:pPr>
        <w:spacing w:after="0" w:line="10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July 2013, we entered into a collaboration agreement with AstraZeneca for roxadustat for the treatment of anemia in the U.S. and all territories not previously licensed to Astellas, except China ("U.S./RoW Agreement"). In July 2013, through our China subsidiary and related affiliates, we entered into a collaboration agreement with AstraZeneca for roxadustat for the treatment of anemia in China (“China Agreement”). Under the AstraZeneca agreements, aggregate amount of such consideration received through June 30, 2022 totaled $516.2 million.</w:t>
      </w:r>
    </w:p>
    <w:p>
      <w:pPr>
        <w:spacing w:after="0" w:line="172"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 xml:space="preserve">Under the China Agreement, which is conducted through FibroGen China Anemia Holdings, Ltd., FibroGen (China) Medical Technology Development Co., Ltd. ("FibroGen Beijing"), and FibroGen International (Hong Kong) Limited (collectively, (“FibroGen China”), the commercial collaboration was structured as a 50/50 profit share, which was amended by the China Amendment in the third quarter of 2020, as discussed and defined below in </w:t>
      </w:r>
      <w:r>
        <w:rPr>
          <w:rFonts w:ascii="Arial" w:cs="Arial" w:eastAsia="Arial" w:hAnsi="Arial"/>
          <w:sz w:val="18"/>
          <w:szCs w:val="18"/>
          <w:i w:val="1"/>
          <w:iCs w:val="1"/>
          <w:color w:val="auto"/>
        </w:rPr>
        <w:t>China</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w:t>
      </w:r>
      <w:r>
        <w:rPr>
          <w:rFonts w:ascii="Arial" w:cs="Arial" w:eastAsia="Arial" w:hAnsi="Arial"/>
          <w:sz w:val="18"/>
          <w:szCs w:val="18"/>
          <w:color w:val="auto"/>
        </w:rPr>
        <w:t>.</w:t>
      </w:r>
    </w:p>
    <w:p>
      <w:pPr>
        <w:spacing w:after="0" w:line="188"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In 2020, we entered into Master Supply Agreement under the U.S./RoW Agreement with AstraZeneca (“Master Supply Agreement”) to define general forecast, order, supply and payment terms for AstraZeneca to purchase roxadustat bulk drug product from FibroGen in support of commercial supplies. There was no related drug product revenue for the three and six months ended June 30, 2022, and the related drug product revenue was $(6.7) million and $(2.2) million for the three and six months ended June 30, 2021, respectively.</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Amendment</w:t>
      </w:r>
    </w:p>
    <w:p>
      <w:pPr>
        <w:spacing w:after="0" w:line="104"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In July 2020, FibroGen China and AstraZeneca entered into an amendment, effective July 1, 2020, to the China Agreement, relating to the development and commercialization of roxadustat in China (the “China Amendment”). Under the China Amendment, in September 2020, FibroGen Beijing and AstraZeneca completed the establishment of a jointly owned entity, Beijing Falikang Pharmaceutical Co., Ltd. ("Falikang"), which performs roxadustat distribution, as well as conducts sales and marketing through AstraZeneca.</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FibroGen Beijing manufactures and supplies commercial product to Falikang based on an agreed upon transfer price, which includes gross transfer price, net of calculated profit share. Revenue is recognized upon the transfer of control of commercial products to Falikang in an amount that reflects the allocation of transaction price of the China manufacturing and supply obligation (“China performance obligation”) to the performance obligation satisfied during the reporting period. We recognized related net product revenue of $23.3 million and $13.4 million for the three months ended June 30, 2022 and 2021, and $42.1 million and $28.7 million for the six months ended June 30, 2022 and 2021,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Related to Collaboration Agreements</w:t>
      </w:r>
    </w:p>
    <w:p>
      <w:pPr>
        <w:spacing w:after="0" w:line="108"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Total cash consideration received through June 30, 2022 and potential cash consideration, for upfront payments and milestone payments under our collaboration agreements are as follows:</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ind w:right="78"/>
              <w:spacing w:after="0"/>
              <w:rPr>
                <w:sz w:val="20"/>
                <w:szCs w:val="20"/>
                <w:color w:val="auto"/>
              </w:rPr>
            </w:pPr>
            <w:r>
              <w:rPr>
                <w:rFonts w:ascii="Arial" w:cs="Arial" w:eastAsia="Arial" w:hAnsi="Arial"/>
                <w:sz w:val="14"/>
                <w:szCs w:val="14"/>
                <w:b w:val="1"/>
                <w:bCs w:val="1"/>
                <w:color w:val="auto"/>
                <w:w w:val="92"/>
              </w:rPr>
              <w:t>Cash Received for Upfront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1"/>
              </w:rPr>
              <w:t>Payments and Milestone</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96"/>
              </w:rPr>
              <w:t>Additional</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Payments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1"/>
              </w:rPr>
              <w:t>Potential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Through</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1"/>
              </w:rPr>
              <w:t>Potential</w:t>
            </w:r>
          </w:p>
        </w:tc>
        <w:tc>
          <w:tcPr>
            <w:tcW w:w="280" w:type="dxa"/>
            <w:vAlign w:val="bottom"/>
          </w:tcPr>
          <w:p>
            <w:pPr>
              <w:spacing w:after="0"/>
              <w:rPr>
                <w:sz w:val="12"/>
                <w:szCs w:val="12"/>
                <w:color w:val="auto"/>
              </w:rPr>
            </w:pPr>
          </w:p>
        </w:tc>
        <w:tc>
          <w:tcPr>
            <w:tcW w:w="1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Cash Payments for Upfront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2"/>
              </w:rPr>
              <w:t>June 30, 2022</w:t>
            </w:r>
          </w:p>
        </w:tc>
        <w:tc>
          <w:tcPr>
            <w:tcW w:w="320" w:type="dxa"/>
            <w:vAlign w:val="bottom"/>
          </w:tcPr>
          <w:p>
            <w:pPr>
              <w:spacing w:after="0"/>
              <w:rPr>
                <w:sz w:val="16"/>
                <w:szCs w:val="16"/>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Cash Payment for Milestones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1"/>
              </w:rPr>
              <w:t>Payments and Milestones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jc w:val="center"/>
              <w:ind w:right="235"/>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Astellas--related-party:</w:t>
            </w:r>
          </w:p>
        </w:tc>
        <w:tc>
          <w:tcPr>
            <w:tcW w:w="12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Japan Agreement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105,093</w:t>
            </w:r>
          </w:p>
        </w:tc>
        <w:tc>
          <w:tcPr>
            <w:tcW w:w="600" w:type="dxa"/>
            <w:vAlign w:val="bottom"/>
            <w:gridSpan w:val="2"/>
          </w:tcPr>
          <w:p>
            <w:pPr>
              <w:jc w:val="right"/>
              <w:ind w:right="99"/>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67,500</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172,593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Europe Agreement</w:t>
            </w:r>
          </w:p>
        </w:tc>
        <w:tc>
          <w:tcPr>
            <w:tcW w:w="12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685,000</w:t>
            </w:r>
          </w:p>
        </w:tc>
        <w:tc>
          <w:tcPr>
            <w:tcW w:w="3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60,000</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745,000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tcPr>
          <w:p>
            <w:pPr>
              <w:ind w:left="360"/>
              <w:spacing w:after="0" w:line="196" w:lineRule="exact"/>
              <w:rPr>
                <w:sz w:val="20"/>
                <w:szCs w:val="20"/>
                <w:color w:val="auto"/>
              </w:rPr>
            </w:pPr>
            <w:r>
              <w:rPr>
                <w:rFonts w:ascii="Arial" w:cs="Arial" w:eastAsia="Arial" w:hAnsi="Arial"/>
                <w:sz w:val="18"/>
                <w:szCs w:val="18"/>
                <w:color w:val="auto"/>
              </w:rPr>
              <w:t>Total Astellas</w:t>
            </w:r>
          </w:p>
        </w:tc>
        <w:tc>
          <w:tcPr>
            <w:tcW w:w="12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790,093</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127,500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917,593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AstraZeneca:</w:t>
            </w:r>
          </w:p>
        </w:tc>
        <w:tc>
          <w:tcPr>
            <w:tcW w:w="12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U.S. / RoW Agreement</w:t>
            </w:r>
          </w:p>
        </w:tc>
        <w:tc>
          <w:tcPr>
            <w:tcW w:w="12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439,000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810,000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1,249,000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China Agreement</w:t>
            </w:r>
          </w:p>
        </w:tc>
        <w:tc>
          <w:tcPr>
            <w:tcW w:w="12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77,200</w:t>
            </w:r>
          </w:p>
        </w:tc>
        <w:tc>
          <w:tcPr>
            <w:tcW w:w="3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299,500</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376,700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tcPr>
          <w:p>
            <w:pPr>
              <w:ind w:left="360"/>
              <w:spacing w:after="0" w:line="196" w:lineRule="exact"/>
              <w:rPr>
                <w:sz w:val="20"/>
                <w:szCs w:val="20"/>
                <w:color w:val="auto"/>
              </w:rPr>
            </w:pPr>
            <w:r>
              <w:rPr>
                <w:rFonts w:ascii="Arial" w:cs="Arial" w:eastAsia="Arial" w:hAnsi="Arial"/>
                <w:sz w:val="18"/>
                <w:szCs w:val="18"/>
                <w:color w:val="auto"/>
              </w:rPr>
              <w:t>Total AstraZeneca</w:t>
            </w: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516,200</w:t>
            </w:r>
          </w:p>
        </w:tc>
        <w:tc>
          <w:tcPr>
            <w:tcW w:w="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1,109,500</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1,625,700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00" w:type="dxa"/>
            <w:vAlign w:val="bottom"/>
            <w:tcBorders>
              <w:bottom w:val="single" w:sz="8" w:color="CFF0FC"/>
            </w:tcBorders>
            <w:shd w:val="clear" w:color="auto" w:fill="CFF0FC"/>
          </w:tcPr>
          <w:p>
            <w:pPr>
              <w:ind w:left="540"/>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1,306,293</w:t>
            </w:r>
          </w:p>
        </w:tc>
        <w:tc>
          <w:tcPr>
            <w:tcW w:w="3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9"/>
              <w:spacing w:after="0" w:line="182"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1,237,000</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2,543,293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-819150</wp:posOffset>
            </wp:positionV>
            <wp:extent cx="6858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-819150</wp:posOffset>
            </wp:positionV>
            <wp:extent cx="6032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-819150</wp:posOffset>
            </wp:positionV>
            <wp:extent cx="6032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-296545</wp:posOffset>
            </wp:positionV>
            <wp:extent cx="6858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-296545</wp:posOffset>
            </wp:positionV>
            <wp:extent cx="6032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-296545</wp:posOffset>
            </wp:positionV>
            <wp:extent cx="6032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jc w:val="both"/>
        <w:ind w:right="100"/>
        <w:spacing w:after="0" w:line="284" w:lineRule="auto"/>
        <w:rPr>
          <w:sz w:val="20"/>
          <w:szCs w:val="20"/>
          <w:color w:val="auto"/>
        </w:rPr>
      </w:pPr>
      <w:r>
        <w:rPr>
          <w:rFonts w:ascii="Arial" w:cs="Arial" w:eastAsia="Arial" w:hAnsi="Arial"/>
          <w:sz w:val="16"/>
          <w:szCs w:val="16"/>
          <w:color w:val="auto"/>
        </w:rPr>
        <w:t>The above table does not include development cost reimbursement, transfer price payments, and royalties and profit share under our existing collaboration agreements. While we continue to commercialize roxadustat in China with AstraZeneca, and develop roxadustat in the U.S. for the treatment of anemia in patients with MDS, we have not been able to agree on a path forward for AstraZeneca to fund further roxadustat development for CKD anemia in the U.S. Therefore, we do not expect to receive most or all of these potential U.S./RoW Agreement milestones from AstraZeneca.</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20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Three Months Ended June</w:t>
            </w:r>
          </w:p>
        </w:tc>
        <w:tc>
          <w:tcPr>
            <w:tcW w:w="220" w:type="dxa"/>
            <w:vAlign w:val="bottom"/>
          </w:tcPr>
          <w:p>
            <w:pPr>
              <w:spacing w:after="0"/>
              <w:rPr>
                <w:sz w:val="14"/>
                <w:szCs w:val="14"/>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w w:val="92"/>
              </w:rPr>
              <w:t>Six Months Ended June 30,</w:t>
            </w:r>
          </w:p>
        </w:tc>
        <w:tc>
          <w:tcPr>
            <w:tcW w:w="200" w:type="dxa"/>
            <w:vAlign w:val="bottom"/>
          </w:tcPr>
          <w:p>
            <w:pPr>
              <w:spacing w:after="0"/>
              <w:rPr>
                <w:sz w:val="14"/>
                <w:szCs w:val="14"/>
                <w:color w:val="auto"/>
              </w:rPr>
            </w:pPr>
          </w:p>
        </w:tc>
        <w:tc>
          <w:tcPr>
            <w:tcW w:w="102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92"/>
              </w:rPr>
              <w:t>30,</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w w:val="97"/>
              </w:rPr>
              <w:t>(dollars in thousands)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200"/>
              <w:spacing w:after="0" w:line="202" w:lineRule="exact"/>
              <w:rPr>
                <w:sz w:val="20"/>
                <w:szCs w:val="20"/>
                <w:color w:val="auto"/>
              </w:rPr>
            </w:pPr>
            <w:r>
              <w:rPr>
                <w:rFonts w:ascii="Arial" w:cs="Arial" w:eastAsia="Arial" w:hAnsi="Arial"/>
                <w:sz w:val="18"/>
                <w:szCs w:val="18"/>
                <w:color w:val="auto"/>
              </w:rPr>
              <w:t>License revenue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ind w:left="140"/>
              <w:spacing w:after="0" w:line="202" w:lineRule="exact"/>
              <w:rPr>
                <w:sz w:val="20"/>
                <w:szCs w:val="20"/>
                <w:color w:val="auto"/>
              </w:rPr>
            </w:pPr>
            <w:r>
              <w:rPr>
                <w:rFonts w:ascii="Arial" w:cs="Arial" w:eastAsia="Arial" w:hAnsi="Arial"/>
                <w:sz w:val="18"/>
                <w:szCs w:val="18"/>
                <w:color w:val="auto"/>
                <w:w w:val="99"/>
              </w:rPr>
              <w:t>NM</w:t>
            </w:r>
          </w:p>
        </w:tc>
        <w:tc>
          <w:tcPr>
            <w:tcW w:w="4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22,590</w:t>
            </w:r>
          </w:p>
        </w:tc>
        <w:tc>
          <w:tcPr>
            <w:tcW w:w="4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22,590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NM</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Development and other revenue</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5,457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19,641</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(14,184 )</w:t>
            </w:r>
          </w:p>
        </w:tc>
        <w:tc>
          <w:tcPr>
            <w:tcW w:w="8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(72 ) %</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17,219</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34,228</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w w:val="97"/>
              </w:rPr>
              <w:t>(17,009 )</w:t>
            </w: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(50 ) %</w:t>
            </w:r>
          </w:p>
        </w:tc>
        <w:tc>
          <w:tcPr>
            <w:tcW w:w="0" w:type="dxa"/>
            <w:vAlign w:val="bottom"/>
          </w:tcPr>
          <w:p>
            <w:pPr>
              <w:spacing w:after="0"/>
              <w:rPr>
                <w:sz w:val="1"/>
                <w:szCs w:val="1"/>
                <w:color w:val="auto"/>
              </w:rPr>
            </w:pPr>
          </w:p>
        </w:tc>
      </w:tr>
      <w:tr>
        <w:trPr>
          <w:trHeight w:val="203"/>
        </w:trPr>
        <w:tc>
          <w:tcPr>
            <w:tcW w:w="2920" w:type="dxa"/>
            <w:vAlign w:val="bottom"/>
          </w:tcPr>
          <w:p>
            <w:pPr>
              <w:ind w:left="200"/>
              <w:spacing w:after="0" w:line="202" w:lineRule="exact"/>
              <w:rPr>
                <w:sz w:val="20"/>
                <w:szCs w:val="20"/>
                <w:color w:val="auto"/>
              </w:rPr>
            </w:pPr>
            <w:r>
              <w:rPr>
                <w:rFonts w:ascii="Arial" w:cs="Arial" w:eastAsia="Arial" w:hAnsi="Arial"/>
                <w:sz w:val="18"/>
                <w:szCs w:val="18"/>
                <w:color w:val="auto"/>
              </w:rPr>
              <w:t>Product revenue, net</w:t>
            </w: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23,256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13,371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9,885</w:t>
            </w:r>
          </w:p>
        </w:tc>
        <w:tc>
          <w:tcPr>
            <w:tcW w:w="26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4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42,137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28,733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13,404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Drug product revenue</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(8,648 )</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9,741</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w:t>
            </w:r>
          </w:p>
        </w:tc>
        <w:tc>
          <w:tcPr>
            <w:tcW w:w="44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8,687</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(168 )</w:t>
            </w: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8,855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5,271</w:t>
            </w: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920" w:type="dxa"/>
            <w:vAlign w:val="bottom"/>
            <w:tcBorders>
              <w:top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29,806</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24,364</w:t>
            </w: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5,442</w:t>
            </w:r>
          </w:p>
        </w:tc>
        <w:tc>
          <w:tcPr>
            <w:tcW w:w="260" w:type="dxa"/>
            <w:vAlign w:val="bottom"/>
            <w:tcBorders>
              <w:top w:val="single" w:sz="8" w:color="CFF0FC"/>
            </w:tcBorders>
          </w:tcPr>
          <w:p>
            <w:pPr>
              <w:spacing w:after="0"/>
              <w:rPr>
                <w:sz w:val="17"/>
                <w:szCs w:val="17"/>
                <w:color w:val="auto"/>
              </w:rPr>
            </w:pPr>
          </w:p>
        </w:tc>
        <w:tc>
          <w:tcPr>
            <w:tcW w:w="44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22</w:t>
            </w:r>
          </w:p>
        </w:tc>
        <w:tc>
          <w:tcPr>
            <w:tcW w:w="440" w:type="dxa"/>
            <w:vAlign w:val="bottom"/>
            <w:tcBorders>
              <w:top w:val="single" w:sz="8" w:color="CFF0FC"/>
            </w:tcBorders>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90,633</w:t>
            </w: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62,793</w:t>
            </w:r>
          </w:p>
        </w:tc>
        <w:tc>
          <w:tcPr>
            <w:tcW w:w="20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27,840</w:t>
            </w: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52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44</w:t>
            </w:r>
          </w:p>
        </w:tc>
        <w:tc>
          <w:tcPr>
            <w:tcW w:w="28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-159385</wp:posOffset>
            </wp:positionV>
            <wp:extent cx="7683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-159385</wp:posOffset>
            </wp:positionV>
            <wp:extent cx="7747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-159385</wp:posOffset>
            </wp:positionV>
            <wp:extent cx="7683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-159385</wp:posOffset>
            </wp:positionV>
            <wp:extent cx="6858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-159385</wp:posOffset>
            </wp:positionV>
            <wp:extent cx="6858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-159385</wp:posOffset>
            </wp:positionV>
            <wp:extent cx="6858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95123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Under our revenue recognition policy, license revenue includes amounts from upfront, non-refundable license payments and amounts allocated pursuant to the standalone selling price method from other consideration received during the respective periods. This revenue is generally recognized as deliverables are met and services are performed.</w:t>
      </w:r>
    </w:p>
    <w:p>
      <w:pPr>
        <w:spacing w:after="0" w:line="182"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Development revenue includes co-development and other development related services. Co-development services are recognized as revenue in the period in which they are billed to our partners, excluding China. For China co-development services, revenue is deferred until we begin to transfer control of the manufactured commercial product to AstraZeneca, which commenced in the first quarter of 2021 and is expected to continue through 2028. Other development related services are recognized as revenue over the non-contingent development period based on a proportional performance method. As of June 30, 2022, the estimated future non-contingent development periods range from 21 to 33 months. Other revenues consist of contract manufacturing revenue and sales of research and development material and have not been material for any of the periods presented.</w:t>
      </w:r>
    </w:p>
    <w:p>
      <w:pPr>
        <w:spacing w:after="0" w:line="16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Product revenue is recognized when our customer obtains control of promised goods or services in an amount that reflects the consideration we expect to receive in exchange for those goods or services.</w:t>
      </w:r>
    </w:p>
    <w:p>
      <w:pPr>
        <w:spacing w:after="0" w:line="17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Drug product revenue includes commercial-grade API or bulk drug product sales to AstraZeneca and Astellas in support of pre-commercial preparation prior to the NDA or Marketing Authorization Application approval, and to Astellas for ongoing commercial launch in Japan and Europe. Drug product revenue is recognized when we fulfill the inventory transfer obligations. 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Actual amounts of consideration ultimately received in the future may differ from our estimates, for which we will adjust these estimates and affect the drug product revenue in the period such variances become known.</w:t>
      </w:r>
    </w:p>
    <w:p>
      <w:pPr>
        <w:spacing w:after="0" w:line="191"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In the future, we will continue generating revenue from collaboration agreements in the form of license fees, milestone payments, reimbursements for collaboration services and royalties on drug product sales, and from product sales. We expect that any revenues we generate will fluctuate from quarter to quarter due to the uncertain timing and amount of such payments and sales.</w:t>
      </w:r>
    </w:p>
    <w:p>
      <w:pPr>
        <w:spacing w:after="0" w:line="18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Total revenue increased $5.4 million, or 22% for the three months ended June 30, 2022 and $27.8 million, or 44% for the six months ended June 30, 2022 compared to the same periods a year ago for the reasons discussed in the sections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Revenue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Three Months Ended June 30,</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w w:val="93"/>
              </w:rPr>
              <w:t>Six Months Ended June 30,</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480" w:type="dxa"/>
            <w:vAlign w:val="bottom"/>
            <w:tcBorders>
              <w:bottom w:val="single" w:sz="8" w:color="auto"/>
            </w:tcBorders>
          </w:tcPr>
          <w:p>
            <w:pPr>
              <w:spacing w:after="0"/>
              <w:rPr>
                <w:sz w:val="14"/>
                <w:szCs w:val="14"/>
                <w:color w:val="auto"/>
              </w:rPr>
            </w:pPr>
          </w:p>
        </w:tc>
      </w:tr>
      <w:tr>
        <w:trPr>
          <w:trHeight w:val="169"/>
        </w:trPr>
        <w:tc>
          <w:tcPr>
            <w:tcW w:w="3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r>
      <w:tr>
        <w:trPr>
          <w:trHeight w:val="169"/>
        </w:trPr>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(dollars in</w:t>
            </w:r>
          </w:p>
        </w:tc>
        <w:tc>
          <w:tcPr>
            <w:tcW w:w="16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03"/>
        </w:trPr>
        <w:tc>
          <w:tcPr>
            <w:tcW w:w="3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License revenue:</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r>
      <w:tr>
        <w:trPr>
          <w:trHeight w:val="203"/>
        </w:trPr>
        <w:tc>
          <w:tcPr>
            <w:tcW w:w="3060" w:type="dxa"/>
            <w:vAlign w:val="bottom"/>
          </w:tcPr>
          <w:p>
            <w:pPr>
              <w:ind w:left="200"/>
              <w:spacing w:after="0" w:line="202" w:lineRule="exact"/>
              <w:rPr>
                <w:sz w:val="20"/>
                <w:szCs w:val="20"/>
                <w:color w:val="auto"/>
              </w:rPr>
            </w:pPr>
            <w:r>
              <w:rPr>
                <w:rFonts w:ascii="Arial" w:cs="Arial" w:eastAsia="Arial" w:hAnsi="Arial"/>
                <w:sz w:val="18"/>
                <w:szCs w:val="18"/>
                <w:color w:val="auto"/>
              </w:rPr>
              <w:t>Astellas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ind w:left="580"/>
              <w:spacing w:after="0" w:line="202" w:lineRule="exact"/>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ind w:left="580"/>
              <w:spacing w:after="0" w:line="202" w:lineRule="exact"/>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ind w:left="220"/>
              <w:spacing w:after="0" w:line="202" w:lineRule="exact"/>
              <w:rPr>
                <w:sz w:val="20"/>
                <w:szCs w:val="20"/>
                <w:color w:val="auto"/>
              </w:rPr>
            </w:pPr>
            <w:r>
              <w:rPr>
                <w:rFonts w:ascii="Arial" w:cs="Arial" w:eastAsia="Arial" w:hAnsi="Arial"/>
                <w:sz w:val="18"/>
                <w:szCs w:val="18"/>
                <w:color w:val="auto"/>
                <w:w w:val="99"/>
              </w:rPr>
              <w:t>NM</w:t>
            </w:r>
          </w:p>
        </w:tc>
        <w:tc>
          <w:tcPr>
            <w:tcW w:w="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22,590</w:t>
            </w:r>
          </w:p>
        </w:tc>
        <w:tc>
          <w:tcPr>
            <w:tcW w:w="4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ind w:left="56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22,590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ind w:left="180"/>
              <w:spacing w:after="0" w:line="202" w:lineRule="exact"/>
              <w:rPr>
                <w:sz w:val="20"/>
                <w:szCs w:val="20"/>
                <w:color w:val="auto"/>
              </w:rPr>
            </w:pPr>
            <w:r>
              <w:rPr>
                <w:rFonts w:ascii="Arial" w:cs="Arial" w:eastAsia="Arial" w:hAnsi="Arial"/>
                <w:sz w:val="18"/>
                <w:szCs w:val="18"/>
                <w:color w:val="auto"/>
                <w:w w:val="99"/>
              </w:rPr>
              <w:t>NM</w:t>
            </w:r>
          </w:p>
        </w:tc>
      </w:tr>
      <w:tr>
        <w:trPr>
          <w:trHeight w:val="236"/>
        </w:trPr>
        <w:tc>
          <w:tcPr>
            <w:tcW w:w="3060" w:type="dxa"/>
            <w:vAlign w:val="bottom"/>
            <w:tcBorders>
              <w:top w:val="single" w:sz="8" w:color="CFF0FC"/>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license revenue</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ind w:left="580"/>
              <w:spacing w:after="0" w:line="182" w:lineRule="exact"/>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ind w:left="580"/>
              <w:spacing w:after="0" w:line="182" w:lineRule="exact"/>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ind w:left="300"/>
              <w:spacing w:after="0" w:line="182" w:lineRule="exact"/>
              <w:rPr>
                <w:sz w:val="20"/>
                <w:szCs w:val="20"/>
                <w:color w:val="auto"/>
              </w:rPr>
            </w:pPr>
            <w:r>
              <w:rPr>
                <w:rFonts w:ascii="Arial" w:cs="Arial" w:eastAsia="Arial" w:hAnsi="Arial"/>
                <w:sz w:val="18"/>
                <w:szCs w:val="18"/>
                <w:color w:val="auto"/>
                <w:w w:val="88"/>
              </w:rPr>
              <w:t>—</w:t>
            </w:r>
          </w:p>
        </w:tc>
        <w:tc>
          <w:tcPr>
            <w:tcW w:w="480" w:type="dxa"/>
            <w:vAlign w:val="bottom"/>
            <w:tcBorders>
              <w:top w:val="single" w:sz="8" w:color="CFF0FC"/>
              <w:bottom w:val="single" w:sz="8" w:color="CFF0FC"/>
            </w:tcBorders>
            <w:gridSpan w:val="2"/>
            <w:shd w:val="clear" w:color="auto" w:fill="CFF0FC"/>
          </w:tcPr>
          <w:p>
            <w:pPr>
              <w:spacing w:after="0"/>
              <w:rPr>
                <w:sz w:val="20"/>
                <w:szCs w:val="20"/>
                <w:color w:val="auto"/>
              </w:rPr>
            </w:pPr>
          </w:p>
        </w:tc>
        <w:tc>
          <w:tcPr>
            <w:tcW w:w="520" w:type="dxa"/>
            <w:vAlign w:val="bottom"/>
            <w:tcBorders>
              <w:top w:val="single" w:sz="8" w:color="CFF0FC"/>
              <w:bottom w:val="single" w:sz="8" w:color="CFF0FC"/>
            </w:tcBorders>
            <w:shd w:val="clear" w:color="auto" w:fill="CFF0FC"/>
          </w:tcPr>
          <w:p>
            <w:pPr>
              <w:ind w:left="220"/>
              <w:spacing w:after="0" w:line="182" w:lineRule="exact"/>
              <w:rPr>
                <w:sz w:val="20"/>
                <w:szCs w:val="20"/>
                <w:color w:val="auto"/>
              </w:rPr>
            </w:pPr>
            <w:r>
              <w:rPr>
                <w:rFonts w:ascii="Arial" w:cs="Arial" w:eastAsia="Arial" w:hAnsi="Arial"/>
                <w:sz w:val="18"/>
                <w:szCs w:val="18"/>
                <w:color w:val="auto"/>
                <w:w w:val="99"/>
              </w:rPr>
              <w:t>NM</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22,590</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ind w:left="560"/>
              <w:spacing w:after="0" w:line="182" w:lineRule="exact"/>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22,590</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480" w:type="dxa"/>
            <w:vAlign w:val="bottom"/>
            <w:tcBorders>
              <w:top w:val="single" w:sz="8" w:color="CFF0FC"/>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w w:val="99"/>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-25400</wp:posOffset>
            </wp:positionV>
            <wp:extent cx="7747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-8255</wp:posOffset>
            </wp:positionV>
            <wp:extent cx="7747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-162560</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-25400</wp:posOffset>
            </wp:positionV>
            <wp:extent cx="7747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-8255</wp:posOffset>
            </wp:positionV>
            <wp:extent cx="7747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-162560</wp:posOffset>
            </wp:positionV>
            <wp:extent cx="774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-25400</wp:posOffset>
            </wp:positionV>
            <wp:extent cx="774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7747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-162560</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-162560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-162560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-25400</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-8255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-162560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95123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92" w:lineRule="exact"/>
        <w:rPr>
          <w:sz w:val="20"/>
          <w:szCs w:val="20"/>
          <w:color w:val="auto"/>
        </w:rPr>
      </w:pPr>
    </w:p>
    <w:p>
      <w:pPr>
        <w:jc w:val="both"/>
        <w:ind w:right="120"/>
        <w:spacing w:after="0" w:line="227" w:lineRule="auto"/>
        <w:rPr>
          <w:sz w:val="20"/>
          <w:szCs w:val="20"/>
          <w:color w:val="auto"/>
        </w:rPr>
      </w:pPr>
      <w:r>
        <w:rPr>
          <w:rFonts w:ascii="Arial" w:cs="Arial" w:eastAsia="Arial" w:hAnsi="Arial"/>
          <w:sz w:val="18"/>
          <w:szCs w:val="18"/>
          <w:color w:val="auto"/>
        </w:rPr>
        <w:t>License revenue recognized under our collaboration agreements with Astellas for the six months ended June 30, 2022 represented the allocated revenue of related to $25.0 million regulatory milestone associated with the approval of EVRENZO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(roxadustat) in Russia that was included in the transaction price during the first quarter of 2022 when such milestone was achieved. We did not have any license revenue for the three months ended June 30, 2022 and the three and six months ended June 30, 2021.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Development and Other 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0" w:type="dxa"/>
            <w:vAlign w:val="bottom"/>
          </w:tcPr>
          <w:p>
            <w:pPr>
              <w:spacing w:after="0"/>
              <w:rPr>
                <w:sz w:val="16"/>
                <w:szCs w:val="16"/>
                <w:color w:val="auto"/>
              </w:rPr>
            </w:pPr>
          </w:p>
        </w:tc>
        <w:tc>
          <w:tcPr>
            <w:tcW w:w="19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Three Months Ended June 30,</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4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4"/>
                <w:szCs w:val="14"/>
                <w:b w:val="1"/>
                <w:bCs w:val="1"/>
                <w:color w:val="auto"/>
                <w:w w:val="93"/>
              </w:rPr>
              <w:t>Six Months Ended June 30,</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Development revenue:</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200"/>
              <w:spacing w:after="0" w:line="202" w:lineRule="exact"/>
              <w:rPr>
                <w:sz w:val="20"/>
                <w:szCs w:val="20"/>
                <w:color w:val="auto"/>
              </w:rPr>
            </w:pPr>
            <w:r>
              <w:rPr>
                <w:rFonts w:ascii="Arial" w:cs="Arial" w:eastAsia="Arial" w:hAnsi="Arial"/>
                <w:sz w:val="18"/>
                <w:szCs w:val="18"/>
                <w:color w:val="auto"/>
              </w:rPr>
              <w:t>Astellas</w:t>
            </w:r>
          </w:p>
        </w:tc>
        <w:tc>
          <w:tcPr>
            <w:tcW w:w="18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1,825</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2,645</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(820 )</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(31 ) %</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7,005</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6,256</w:t>
            </w: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749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AstraZeneca</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3,352</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16,993</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w w:val="97"/>
              </w:rPr>
              <w:t>(13,641 )</w:t>
            </w:r>
          </w:p>
        </w:tc>
        <w:tc>
          <w:tcPr>
            <w:tcW w:w="9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(80 ) %</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9,171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27,969</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w w:val="97"/>
              </w:rPr>
              <w:t>(18,798 )</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(67 ) %</w:t>
            </w: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tcPr>
          <w:p>
            <w:pPr>
              <w:ind w:left="380"/>
              <w:spacing w:after="0" w:line="196" w:lineRule="exact"/>
              <w:rPr>
                <w:sz w:val="20"/>
                <w:szCs w:val="20"/>
                <w:color w:val="auto"/>
              </w:rPr>
            </w:pPr>
            <w:r>
              <w:rPr>
                <w:rFonts w:ascii="Arial" w:cs="Arial" w:eastAsia="Arial" w:hAnsi="Arial"/>
                <w:sz w:val="18"/>
                <w:szCs w:val="18"/>
                <w:color w:val="auto"/>
              </w:rPr>
              <w:t>Total development revenue</w:t>
            </w:r>
          </w:p>
        </w:tc>
        <w:tc>
          <w:tcPr>
            <w:tcW w:w="18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5,177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19,638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w w:val="97"/>
              </w:rPr>
              <w:t>(14,461 )</w:t>
            </w:r>
          </w:p>
        </w:tc>
        <w:tc>
          <w:tcPr>
            <w:tcW w:w="9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(74 ) %</w:t>
            </w: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16,176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34,225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w w:val="97"/>
              </w:rPr>
              <w:t>(18,049 )</w:t>
            </w:r>
          </w:p>
        </w:tc>
        <w:tc>
          <w:tcPr>
            <w:tcW w:w="100" w:type="dxa"/>
            <w:vAlign w:val="bottom"/>
          </w:tcPr>
          <w:p>
            <w:pPr>
              <w:spacing w:after="0"/>
              <w:rPr>
                <w:sz w:val="17"/>
                <w:szCs w:val="17"/>
                <w:color w:val="auto"/>
              </w:rPr>
            </w:pPr>
          </w:p>
        </w:tc>
        <w:tc>
          <w:tcPr>
            <w:tcW w:w="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(53 ) %</w:t>
            </w:r>
          </w:p>
        </w:tc>
        <w:tc>
          <w:tcPr>
            <w:tcW w:w="0" w:type="dxa"/>
            <w:vAlign w:val="bottom"/>
          </w:tcPr>
          <w:p>
            <w:pPr>
              <w:spacing w:after="0"/>
              <w:rPr>
                <w:sz w:val="1"/>
                <w:szCs w:val="1"/>
                <w:color w:val="auto"/>
              </w:rPr>
            </w:pPr>
          </w:p>
        </w:tc>
      </w:tr>
      <w:tr>
        <w:trPr>
          <w:trHeight w:val="162"/>
        </w:trPr>
        <w:tc>
          <w:tcPr>
            <w:tcW w:w="280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Other revenue</w:t>
            </w:r>
          </w:p>
        </w:tc>
        <w:tc>
          <w:tcPr>
            <w:tcW w:w="18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9,23</w:t>
            </w: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8"/>
              </w:rPr>
              <w:t>34,667</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00" w:type="dxa"/>
            <w:vAlign w:val="bottom"/>
            <w:tcBorders>
              <w:bottom w:val="single" w:sz="8" w:color="CFF0FC"/>
            </w:tcBorders>
            <w:vMerge w:val="continue"/>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3  %</w:t>
            </w:r>
          </w:p>
        </w:tc>
        <w:tc>
          <w:tcPr>
            <w:tcW w:w="1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vMerge w:val="continue"/>
            <w:shd w:val="clear" w:color="auto" w:fill="CFF0FC"/>
          </w:tcPr>
          <w:p>
            <w:pPr>
              <w:spacing w:after="0"/>
              <w:rPr>
                <w:sz w:val="17"/>
                <w:szCs w:val="17"/>
                <w:color w:val="auto"/>
              </w:rPr>
            </w:pPr>
          </w:p>
        </w:tc>
        <w:tc>
          <w:tcPr>
            <w:tcW w:w="280" w:type="dxa"/>
            <w:vAlign w:val="bottom"/>
            <w:tcBorders>
              <w:bottom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00" w:type="dxa"/>
            <w:vAlign w:val="bottom"/>
          </w:tcPr>
          <w:p>
            <w:pPr>
              <w:ind w:left="380"/>
              <w:spacing w:after="0" w:line="156" w:lineRule="exact"/>
              <w:rPr>
                <w:sz w:val="20"/>
                <w:szCs w:val="20"/>
                <w:color w:val="auto"/>
              </w:rPr>
            </w:pPr>
            <w:r>
              <w:rPr>
                <w:rFonts w:ascii="Arial" w:cs="Arial" w:eastAsia="Arial" w:hAnsi="Arial"/>
                <w:sz w:val="18"/>
                <w:szCs w:val="18"/>
                <w:color w:val="auto"/>
              </w:rPr>
              <w:t>Total development and other</w:t>
            </w: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5,457</w:t>
            </w:r>
          </w:p>
        </w:tc>
        <w:tc>
          <w:tcPr>
            <w:tcW w:w="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19,641</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7"/>
              </w:rPr>
              <w:t>(14,184 )</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(72 ) %</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17,219</w:t>
            </w:r>
          </w:p>
        </w:tc>
        <w:tc>
          <w:tcPr>
            <w:tcW w:w="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34,228</w:t>
            </w:r>
          </w:p>
        </w:tc>
        <w:tc>
          <w:tcPr>
            <w:tcW w:w="4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(17,009 )</w:t>
            </w:r>
          </w:p>
        </w:tc>
        <w:tc>
          <w:tcPr>
            <w:tcW w:w="100" w:type="dxa"/>
            <w:vAlign w:val="bottom"/>
          </w:tcPr>
          <w:p>
            <w:pPr>
              <w:spacing w:after="0"/>
              <w:rPr>
                <w:sz w:val="13"/>
                <w:szCs w:val="13"/>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(50 ) %</w:t>
            </w:r>
          </w:p>
        </w:tc>
        <w:tc>
          <w:tcPr>
            <w:tcW w:w="0" w:type="dxa"/>
            <w:vAlign w:val="bottom"/>
          </w:tcPr>
          <w:p>
            <w:pPr>
              <w:spacing w:after="0"/>
              <w:rPr>
                <w:sz w:val="1"/>
                <w:szCs w:val="1"/>
                <w:color w:val="auto"/>
              </w:rPr>
            </w:pPr>
          </w:p>
        </w:tc>
      </w:tr>
      <w:tr>
        <w:trPr>
          <w:trHeight w:val="176"/>
        </w:trPr>
        <w:tc>
          <w:tcPr>
            <w:tcW w:w="2800" w:type="dxa"/>
            <w:vAlign w:val="bottom"/>
          </w:tcPr>
          <w:p>
            <w:pPr>
              <w:ind w:left="380"/>
              <w:spacing w:after="0" w:line="156" w:lineRule="exact"/>
              <w:rPr>
                <w:sz w:val="20"/>
                <w:szCs w:val="20"/>
                <w:color w:val="auto"/>
              </w:rPr>
            </w:pPr>
            <w:r>
              <w:rPr>
                <w:rFonts w:ascii="Arial" w:cs="Arial" w:eastAsia="Arial" w:hAnsi="Arial"/>
                <w:sz w:val="18"/>
                <w:szCs w:val="18"/>
                <w:color w:val="auto"/>
              </w:rPr>
              <w:t>revenue</w:t>
            </w:r>
          </w:p>
        </w:tc>
        <w:tc>
          <w:tcPr>
            <w:tcW w:w="1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-613410</wp:posOffset>
            </wp:positionV>
            <wp:extent cx="76835"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-613410</wp:posOffset>
            </wp:positionV>
            <wp:extent cx="7747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-613410</wp:posOffset>
            </wp:positionV>
            <wp:extent cx="7747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-613410</wp:posOffset>
            </wp:positionV>
            <wp:extent cx="6858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-613410</wp:posOffset>
            </wp:positionV>
            <wp:extent cx="6858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-613410</wp:posOffset>
            </wp:positionV>
            <wp:extent cx="6858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-245110</wp:posOffset>
            </wp:positionV>
            <wp:extent cx="76835"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-245110</wp:posOffset>
            </wp:positionV>
            <wp:extent cx="7747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-245110</wp:posOffset>
            </wp:positionV>
            <wp:extent cx="7747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-245110</wp:posOffset>
            </wp:positionV>
            <wp:extent cx="6858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-245110</wp:posOffset>
            </wp:positionV>
            <wp:extent cx="6858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-245110</wp:posOffset>
            </wp:positionV>
            <wp:extent cx="6858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Development and other revenue decreased $14.2 million, or 72% for the three months ended June 30, 2022 and $17.0 million, or 50% for the six months ended June 30, 2022, compared to the same periods a year ago.</w:t>
      </w:r>
    </w:p>
    <w:p>
      <w:pPr>
        <w:spacing w:after="0" w:line="171"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Development revenue recognized under our collaboration agreements with Astellas decreased in co-development billings related to the development of roxadustat under our collaboration agreements with Astellas for the three and six months ended June 30, 2022 as a result of the substantial completion of Phase 3 trials for roxadustat. Development revenue recognized under our collaboration agreements with Astellas for the six months ended June 30, 2022 included the allocated revenue of $2.4 million related to the above-mentioned $25.0 million regulatory milestone associated with the approval in Russia during the first quarter of 2022.</w:t>
      </w:r>
    </w:p>
    <w:p>
      <w:pPr>
        <w:spacing w:after="0" w:line="189"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Development revenue recognized under our collaboration agreements with AstraZeneca for the three and six months ended June 30, 2022 was impacted by the decrease in CKD-related co-development billings in the U.S.</w:t>
      </w:r>
    </w:p>
    <w:p>
      <w:pPr>
        <w:spacing w:after="0" w:line="171"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Other revenue recognized for the three and six months ended June 30, 2022 was primarily related to our contract manufacturing agreement with Eluminex Biosciences (Suzhou) Limited (“Eluminex”), under which we are responsible for supplying the cornea product at 110% of our product manufacturing costs until our manufacturing technology is fully transferred to Eluminex.</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Revenue,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20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7"/>
              </w:rPr>
              <w:t>Three Months Ended June</w:t>
            </w:r>
          </w:p>
        </w:tc>
        <w:tc>
          <w:tcPr>
            <w:tcW w:w="220" w:type="dxa"/>
            <w:vAlign w:val="bottom"/>
          </w:tcPr>
          <w:p>
            <w:pPr>
              <w:spacing w:after="0"/>
              <w:rPr>
                <w:sz w:val="14"/>
                <w:szCs w:val="14"/>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w w:val="92"/>
              </w:rPr>
              <w:t>Six Months Ended June 30,</w:t>
            </w:r>
          </w:p>
        </w:tc>
        <w:tc>
          <w:tcPr>
            <w:tcW w:w="24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30,</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Direct Sales:</w:t>
            </w: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20"/>
              <w:spacing w:after="0" w:line="202" w:lineRule="exact"/>
              <w:rPr>
                <w:sz w:val="20"/>
                <w:szCs w:val="20"/>
                <w:color w:val="auto"/>
              </w:rPr>
            </w:pPr>
            <w:r>
              <w:rPr>
                <w:rFonts w:ascii="Arial" w:cs="Arial" w:eastAsia="Arial" w:hAnsi="Arial"/>
                <w:sz w:val="18"/>
                <w:szCs w:val="18"/>
                <w:color w:val="auto"/>
              </w:rPr>
              <w:t>Gross revenue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3,533</w:t>
            </w:r>
          </w:p>
        </w:tc>
        <w:tc>
          <w:tcPr>
            <w:tcW w:w="2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2,230</w:t>
            </w:r>
          </w:p>
        </w:tc>
        <w:tc>
          <w:tcPr>
            <w:tcW w:w="24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1,303</w:t>
            </w:r>
          </w:p>
        </w:tc>
        <w:tc>
          <w:tcPr>
            <w:tcW w:w="2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4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6,362</w:t>
            </w:r>
          </w:p>
        </w:tc>
        <w:tc>
          <w:tcPr>
            <w:tcW w:w="22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7,659</w:t>
            </w:r>
          </w:p>
        </w:tc>
        <w:tc>
          <w:tcPr>
            <w:tcW w:w="22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(1,297 )</w:t>
            </w:r>
          </w:p>
        </w:tc>
        <w:tc>
          <w:tcPr>
            <w:tcW w:w="10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(17 ) %</w:t>
            </w:r>
          </w:p>
        </w:tc>
        <w:tc>
          <w:tcPr>
            <w:tcW w:w="0" w:type="dxa"/>
            <w:vAlign w:val="bottom"/>
          </w:tcPr>
          <w:p>
            <w:pPr>
              <w:spacing w:after="0"/>
              <w:rPr>
                <w:sz w:val="1"/>
                <w:szCs w:val="1"/>
                <w:color w:val="auto"/>
              </w:rPr>
            </w:pPr>
          </w:p>
        </w:tc>
      </w:tr>
      <w:tr>
        <w:trPr>
          <w:trHeight w:val="203"/>
        </w:trPr>
        <w:tc>
          <w:tcPr>
            <w:tcW w:w="29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Discounts and rebates</w:t>
            </w: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(13 )</w:t>
            </w: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(618 )</w:t>
            </w: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605</w:t>
            </w:r>
          </w:p>
        </w:tc>
        <w:tc>
          <w:tcPr>
            <w:tcW w:w="2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(98 ) %</w:t>
            </w: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(187 )</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(1,181 )</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994</w:t>
            </w: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(84 ) %</w:t>
            </w:r>
          </w:p>
        </w:tc>
        <w:tc>
          <w:tcPr>
            <w:tcW w:w="0" w:type="dxa"/>
            <w:vAlign w:val="bottom"/>
          </w:tcPr>
          <w:p>
            <w:pPr>
              <w:spacing w:after="0"/>
              <w:rPr>
                <w:sz w:val="1"/>
                <w:szCs w:val="1"/>
                <w:color w:val="auto"/>
              </w:rPr>
            </w:pPr>
          </w:p>
        </w:tc>
      </w:tr>
      <w:tr>
        <w:trPr>
          <w:trHeight w:val="203"/>
        </w:trPr>
        <w:tc>
          <w:tcPr>
            <w:tcW w:w="2900" w:type="dxa"/>
            <w:vAlign w:val="bottom"/>
          </w:tcPr>
          <w:p>
            <w:pPr>
              <w:ind w:left="120"/>
              <w:spacing w:after="0" w:line="202" w:lineRule="exact"/>
              <w:rPr>
                <w:sz w:val="20"/>
                <w:szCs w:val="20"/>
                <w:color w:val="auto"/>
              </w:rPr>
            </w:pPr>
            <w:r>
              <w:rPr>
                <w:rFonts w:ascii="Arial" w:cs="Arial" w:eastAsia="Arial" w:hAnsi="Arial"/>
                <w:sz w:val="18"/>
                <w:szCs w:val="18"/>
                <w:color w:val="auto"/>
              </w:rPr>
              <w:t>Sales returns</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(1 )</w:t>
            </w:r>
          </w:p>
        </w:tc>
        <w:tc>
          <w:tcPr>
            <w:tcW w:w="18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(1 )</w:t>
            </w:r>
          </w:p>
        </w:tc>
        <w:tc>
          <w:tcPr>
            <w:tcW w:w="220" w:type="dxa"/>
            <w:vAlign w:val="bottom"/>
          </w:tcPr>
          <w:p>
            <w:pPr>
              <w:spacing w:after="0"/>
              <w:rPr>
                <w:sz w:val="17"/>
                <w:szCs w:val="17"/>
                <w:color w:val="auto"/>
              </w:rPr>
            </w:pPr>
          </w:p>
        </w:tc>
        <w:tc>
          <w:tcPr>
            <w:tcW w:w="7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(85 )</w:t>
            </w:r>
          </w:p>
        </w:tc>
        <w:tc>
          <w:tcPr>
            <w:tcW w:w="10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(97 ) %</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Direct sales revenue, net</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3,519</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1,611</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1,908</w:t>
            </w:r>
          </w:p>
        </w:tc>
        <w:tc>
          <w:tcPr>
            <w:tcW w:w="2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w:t>
            </w:r>
          </w:p>
        </w:tc>
        <w:tc>
          <w:tcPr>
            <w:tcW w:w="4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6,178</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6,566</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(388</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tcBorders>
              <w:bottom w:val="single" w:sz="8" w:color="CFF0FC"/>
            </w:tcBorders>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(6 ) %</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Sales to Falikang:</w:t>
            </w: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20"/>
              <w:spacing w:after="0" w:line="202" w:lineRule="exact"/>
              <w:rPr>
                <w:sz w:val="20"/>
                <w:szCs w:val="20"/>
                <w:color w:val="auto"/>
              </w:rPr>
            </w:pPr>
            <w:r>
              <w:rPr>
                <w:rFonts w:ascii="Arial" w:cs="Arial" w:eastAsia="Arial" w:hAnsi="Arial"/>
                <w:sz w:val="18"/>
                <w:szCs w:val="18"/>
                <w:color w:val="auto"/>
              </w:rPr>
              <w:t>Gross transaction price</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28,281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26,714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1,567</w:t>
            </w:r>
          </w:p>
        </w:tc>
        <w:tc>
          <w:tcPr>
            <w:tcW w:w="2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4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51,007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51,115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(108 )</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Profit share</w:t>
            </w: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w w:val="94"/>
              </w:rPr>
              <w:t>(10,065 )</w:t>
            </w: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(9,573 )</w:t>
            </w:r>
          </w:p>
        </w:tc>
        <w:tc>
          <w:tcPr>
            <w:tcW w:w="2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(492 )</w:t>
            </w: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44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(18,914 )</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(19,636 )</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722</w:t>
            </w: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(4 ) %</w:t>
            </w:r>
          </w:p>
        </w:tc>
        <w:tc>
          <w:tcPr>
            <w:tcW w:w="0" w:type="dxa"/>
            <w:vAlign w:val="bottom"/>
          </w:tcPr>
          <w:p>
            <w:pPr>
              <w:spacing w:after="0"/>
              <w:rPr>
                <w:sz w:val="1"/>
                <w:szCs w:val="1"/>
                <w:color w:val="auto"/>
              </w:rPr>
            </w:pPr>
          </w:p>
        </w:tc>
      </w:tr>
      <w:tr>
        <w:trPr>
          <w:trHeight w:val="196"/>
        </w:trPr>
        <w:tc>
          <w:tcPr>
            <w:tcW w:w="290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Net transaction price</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18,216</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17,141</w:t>
            </w: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1,075</w:t>
            </w:r>
          </w:p>
        </w:tc>
        <w:tc>
          <w:tcPr>
            <w:tcW w:w="240" w:type="dxa"/>
            <w:vAlign w:val="bottom"/>
            <w:tcBorders>
              <w:top w:val="single" w:sz="8" w:color="CFF0FC"/>
            </w:tcBorders>
          </w:tcPr>
          <w:p>
            <w:pPr>
              <w:spacing w:after="0"/>
              <w:rPr>
                <w:sz w:val="17"/>
                <w:szCs w:val="17"/>
                <w:color w:val="auto"/>
              </w:rPr>
            </w:pPr>
          </w:p>
        </w:tc>
        <w:tc>
          <w:tcPr>
            <w:tcW w:w="44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rPr>
              <w:t>6</w:t>
            </w:r>
          </w:p>
        </w:tc>
        <w:tc>
          <w:tcPr>
            <w:tcW w:w="440" w:type="dxa"/>
            <w:vAlign w:val="bottom"/>
            <w:tcBorders>
              <w:top w:val="single" w:sz="8" w:color="CFF0FC"/>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32,093</w:t>
            </w: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31,479</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614</w:t>
            </w:r>
          </w:p>
        </w:tc>
        <w:tc>
          <w:tcPr>
            <w:tcW w:w="220" w:type="dxa"/>
            <w:vAlign w:val="bottom"/>
            <w:tcBorders>
              <w:top w:val="single" w:sz="8" w:color="CFF0FC"/>
            </w:tcBorders>
          </w:tcPr>
          <w:p>
            <w:pPr>
              <w:spacing w:after="0"/>
              <w:rPr>
                <w:sz w:val="17"/>
                <w:szCs w:val="17"/>
                <w:color w:val="auto"/>
              </w:rPr>
            </w:pPr>
          </w:p>
        </w:tc>
        <w:tc>
          <w:tcPr>
            <w:tcW w:w="64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rPr>
              <w:t>2</w:t>
            </w:r>
          </w:p>
        </w:tc>
        <w:tc>
          <w:tcPr>
            <w:tcW w:w="440" w:type="dxa"/>
            <w:vAlign w:val="bottom"/>
            <w:tcBorders>
              <w:top w:val="single" w:sz="8" w:color="CFF0FC"/>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90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Decrease (increase) in deferred</w:t>
            </w:r>
          </w:p>
        </w:tc>
        <w:tc>
          <w:tcPr>
            <w:tcW w:w="16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(5,381 )</w:t>
            </w:r>
          </w:p>
        </w:tc>
        <w:tc>
          <w:tcPr>
            <w:tcW w:w="220" w:type="dxa"/>
            <w:vAlign w:val="bottom"/>
            <w:shd w:val="clear" w:color="auto" w:fill="CFF0FC"/>
          </w:tcPr>
          <w:p>
            <w:pPr>
              <w:spacing w:after="0"/>
              <w:rPr>
                <w:sz w:val="14"/>
                <w:szCs w:val="14"/>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6,902</w:t>
            </w: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(12</w:t>
            </w: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3,866</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(9,312 )</w:t>
            </w:r>
          </w:p>
        </w:tc>
        <w:tc>
          <w:tcPr>
            <w:tcW w:w="240" w:type="dxa"/>
            <w:vAlign w:val="bottom"/>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13,178</w:t>
            </w:r>
          </w:p>
        </w:tc>
        <w:tc>
          <w:tcPr>
            <w:tcW w:w="220" w:type="dxa"/>
            <w:vAlign w:val="bottom"/>
            <w:shd w:val="clear" w:color="auto" w:fill="CFF0FC"/>
          </w:tcPr>
          <w:p>
            <w:pPr>
              <w:spacing w:after="0"/>
              <w:rPr>
                <w:sz w:val="14"/>
                <w:szCs w:val="14"/>
                <w:color w:val="auto"/>
              </w:rPr>
            </w:pPr>
          </w:p>
        </w:tc>
        <w:tc>
          <w:tcPr>
            <w:tcW w:w="108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(142 ) %</w:t>
            </w:r>
          </w:p>
        </w:tc>
        <w:tc>
          <w:tcPr>
            <w:tcW w:w="0" w:type="dxa"/>
            <w:vAlign w:val="bottom"/>
          </w:tcPr>
          <w:p>
            <w:pPr>
              <w:spacing w:after="0"/>
              <w:rPr>
                <w:sz w:val="1"/>
                <w:szCs w:val="1"/>
                <w:color w:val="auto"/>
              </w:rPr>
            </w:pPr>
          </w:p>
        </w:tc>
      </w:tr>
      <w:tr>
        <w:trPr>
          <w:trHeight w:val="203"/>
        </w:trPr>
        <w:tc>
          <w:tcPr>
            <w:tcW w:w="29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spacing w:after="0"/>
              <w:rPr>
                <w:sz w:val="17"/>
                <w:szCs w:val="17"/>
                <w:color w:val="auto"/>
              </w:rPr>
            </w:pPr>
          </w:p>
        </w:tc>
        <w:tc>
          <w:tcPr>
            <w:tcW w:w="64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gridSpan w:val="2"/>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8 ) %</w:t>
            </w:r>
          </w:p>
        </w:tc>
        <w:tc>
          <w:tcPr>
            <w:tcW w:w="120" w:type="dxa"/>
            <w:vAlign w:val="bottom"/>
            <w:shd w:val="clear" w:color="auto" w:fill="CFF0FC"/>
          </w:tcPr>
          <w:p>
            <w:pPr>
              <w:spacing w:after="0"/>
              <w:rPr>
                <w:sz w:val="17"/>
                <w:szCs w:val="17"/>
                <w:color w:val="auto"/>
              </w:rPr>
            </w:pPr>
          </w:p>
        </w:tc>
        <w:tc>
          <w:tcPr>
            <w:tcW w:w="74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00" w:type="dxa"/>
            <w:vAlign w:val="bottom"/>
            <w:tcBorders>
              <w:top w:val="single" w:sz="8" w:color="CFF0FC"/>
            </w:tcBorders>
          </w:tcPr>
          <w:p>
            <w:pPr>
              <w:ind w:left="300"/>
              <w:spacing w:after="0" w:line="196" w:lineRule="exact"/>
              <w:rPr>
                <w:sz w:val="20"/>
                <w:szCs w:val="20"/>
                <w:color w:val="auto"/>
              </w:rPr>
            </w:pPr>
            <w:r>
              <w:rPr>
                <w:rFonts w:ascii="Arial" w:cs="Arial" w:eastAsia="Arial" w:hAnsi="Arial"/>
                <w:sz w:val="18"/>
                <w:szCs w:val="18"/>
                <w:color w:val="auto"/>
              </w:rPr>
              <w:t>Sales to Falikang revenue, net</w:t>
            </w: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19,737</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11,760</w:t>
            </w: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7,977</w:t>
            </w:r>
          </w:p>
        </w:tc>
        <w:tc>
          <w:tcPr>
            <w:tcW w:w="240" w:type="dxa"/>
            <w:vAlign w:val="bottom"/>
            <w:tcBorders>
              <w:top w:val="single" w:sz="8" w:color="CFF0FC"/>
            </w:tcBorders>
          </w:tcPr>
          <w:p>
            <w:pPr>
              <w:spacing w:after="0"/>
              <w:rPr>
                <w:sz w:val="17"/>
                <w:szCs w:val="17"/>
                <w:color w:val="auto"/>
              </w:rPr>
            </w:pPr>
          </w:p>
        </w:tc>
        <w:tc>
          <w:tcPr>
            <w:tcW w:w="44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rPr>
              <w:t>68</w:t>
            </w:r>
          </w:p>
        </w:tc>
        <w:tc>
          <w:tcPr>
            <w:tcW w:w="440" w:type="dxa"/>
            <w:vAlign w:val="bottom"/>
            <w:tcBorders>
              <w:top w:val="single" w:sz="8" w:color="CFF0FC"/>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35,959</w:t>
            </w: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22,167</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13,792</w:t>
            </w:r>
          </w:p>
        </w:tc>
        <w:tc>
          <w:tcPr>
            <w:tcW w:w="220" w:type="dxa"/>
            <w:vAlign w:val="bottom"/>
            <w:tcBorders>
              <w:top w:val="single" w:sz="8" w:color="CFF0FC"/>
            </w:tcBorders>
          </w:tcPr>
          <w:p>
            <w:pPr>
              <w:spacing w:after="0"/>
              <w:rPr>
                <w:sz w:val="17"/>
                <w:szCs w:val="17"/>
                <w:color w:val="auto"/>
              </w:rPr>
            </w:pPr>
          </w:p>
        </w:tc>
        <w:tc>
          <w:tcPr>
            <w:tcW w:w="64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rPr>
              <w:t>62</w:t>
            </w:r>
          </w:p>
        </w:tc>
        <w:tc>
          <w:tcPr>
            <w:tcW w:w="440" w:type="dxa"/>
            <w:vAlign w:val="bottom"/>
            <w:tcBorders>
              <w:top w:val="single" w:sz="8" w:color="CFF0FC"/>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90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product revenue, net</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23,256</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13,371</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9,885</w:t>
            </w:r>
          </w:p>
        </w:tc>
        <w:tc>
          <w:tcPr>
            <w:tcW w:w="2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74</w:t>
            </w:r>
          </w:p>
        </w:tc>
        <w:tc>
          <w:tcPr>
            <w:tcW w:w="4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42,137</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28,733</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13,404</w:t>
            </w:r>
          </w:p>
        </w:tc>
        <w:tc>
          <w:tcPr>
            <w:tcW w:w="22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w:t>
            </w:r>
          </w:p>
        </w:tc>
        <w:tc>
          <w:tcPr>
            <w:tcW w:w="4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5"/>
        </w:trPr>
        <w:tc>
          <w:tcPr>
            <w:tcW w:w="2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9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-1668145</wp:posOffset>
            </wp:positionV>
            <wp:extent cx="7747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-1668145</wp:posOffset>
            </wp:positionV>
            <wp:extent cx="76835"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-1668145</wp:posOffset>
            </wp:positionV>
            <wp:extent cx="76835"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-1668145</wp:posOffset>
            </wp:positionV>
            <wp:extent cx="6858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-1668145</wp:posOffset>
            </wp:positionV>
            <wp:extent cx="6858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-1668145</wp:posOffset>
            </wp:positionV>
            <wp:extent cx="6858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-1144905</wp:posOffset>
            </wp:positionV>
            <wp:extent cx="7747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-1144905</wp:posOffset>
            </wp:positionV>
            <wp:extent cx="76835"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-1144905</wp:posOffset>
            </wp:positionV>
            <wp:extent cx="76835"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-1144905</wp:posOffset>
            </wp:positionV>
            <wp:extent cx="6858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-1144905</wp:posOffset>
            </wp:positionV>
            <wp:extent cx="6858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-1144905</wp:posOffset>
            </wp:positionV>
            <wp:extent cx="6858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-776605</wp:posOffset>
            </wp:positionV>
            <wp:extent cx="7747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-776605</wp:posOffset>
            </wp:positionV>
            <wp:extent cx="76835"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-776605</wp:posOffset>
            </wp:positionV>
            <wp:extent cx="76835"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-776605</wp:posOffset>
            </wp:positionV>
            <wp:extent cx="6858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-776605</wp:posOffset>
            </wp:positionV>
            <wp:extent cx="6858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-776605</wp:posOffset>
            </wp:positionV>
            <wp:extent cx="6858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-504825</wp:posOffset>
            </wp:positionV>
            <wp:extent cx="774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-487680</wp:posOffset>
            </wp:positionV>
            <wp:extent cx="774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-504825</wp:posOffset>
            </wp:positionV>
            <wp:extent cx="768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-487680</wp:posOffset>
            </wp:positionV>
            <wp:extent cx="768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-504825</wp:posOffset>
            </wp:positionV>
            <wp:extent cx="768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-487680</wp:posOffset>
            </wp:positionV>
            <wp:extent cx="768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-504825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-487680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-504825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-487680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-504825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-487680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January 2021, Falikang became fully operational and substantially all direct product sales to distributors in China have been made by Falikang, while FibroGen Beijing continues to sell product directly in one province in China. Total product revenue, net increased $9.9 million, or 74% for the three months ended June 30, 2022, and $13.4 million, or 47% for the six months ended June 30, 2022 compared to the same periods a year ago.</w:t>
      </w:r>
    </w:p>
    <w:p>
      <w:pPr>
        <w:spacing w:after="0" w:line="164"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Product revenue from direct sales to distributors is recognized in an amount that reflects the consideration that we expect to be entitled to in exchange for those products, net of various sales rebates and discounts. The discounts and rebates primarily consisted of the contractual sales rebate that were calculated based on the stated percentage of gross sales by each distributor in the distribution agreement, and non-key account hospital listing award that was calculated based on eligible non-key account hospital listing to date achieved by each distributor with certain requirements met during the period.</w:t>
      </w:r>
    </w:p>
    <w:p>
      <w:pPr>
        <w:spacing w:after="0" w:line="155" w:lineRule="exact"/>
        <w:rPr>
          <w:sz w:val="20"/>
          <w:szCs w:val="20"/>
          <w:color w:val="auto"/>
        </w:rPr>
      </w:pPr>
    </w:p>
    <w:p>
      <w:pPr>
        <w:jc w:val="both"/>
        <w:ind w:right="60"/>
        <w:spacing w:after="0" w:line="243" w:lineRule="auto"/>
        <w:rPr>
          <w:sz w:val="20"/>
          <w:szCs w:val="20"/>
          <w:color w:val="auto"/>
        </w:rPr>
      </w:pPr>
      <w:r>
        <w:rPr>
          <w:rFonts w:ascii="Arial" w:cs="Arial" w:eastAsia="Arial" w:hAnsi="Arial"/>
          <w:sz w:val="18"/>
          <w:szCs w:val="18"/>
          <w:color w:val="auto"/>
        </w:rPr>
        <w:t>Product revenue from direct sales, net increased $1.9 million, or 118% for the three months ended June 30, 2022, compared to the same period a year ago. The gross product revenue from direct sales to distributors increased $1.3 million for the three months ended June 30, 2022 primarily due to the increase in sales volume, partially offset by the lower NRDL price effective in the first quarter of 2022 and unfavorable foreign currency translation rate of Renminbi against the U.S. dollar during the current year period.</w:t>
      </w:r>
    </w:p>
    <w:p>
      <w:pPr>
        <w:spacing w:after="0" w:line="188" w:lineRule="exact"/>
        <w:rPr>
          <w:sz w:val="20"/>
          <w:szCs w:val="20"/>
          <w:color w:val="auto"/>
        </w:rPr>
      </w:pPr>
    </w:p>
    <w:p>
      <w:pPr>
        <w:jc w:val="both"/>
        <w:ind w:right="120"/>
        <w:spacing w:after="0" w:line="243" w:lineRule="auto"/>
        <w:rPr>
          <w:sz w:val="20"/>
          <w:szCs w:val="20"/>
          <w:color w:val="auto"/>
        </w:rPr>
      </w:pPr>
      <w:r>
        <w:rPr>
          <w:rFonts w:ascii="Arial" w:cs="Arial" w:eastAsia="Arial" w:hAnsi="Arial"/>
          <w:sz w:val="18"/>
          <w:szCs w:val="18"/>
          <w:color w:val="auto"/>
        </w:rPr>
        <w:t>Product revenue from direct sales, net decreased $0.4 million or 6% for the six months ended June 30, 2022, compared to the same period a year ago. The gross product revenue from direct sales to distributors decreased $1.3 million for the six months ended June 30, 2022, compared to the same period a year ago, primarily due to the lower NRDL price effective in the first quarter of 2022 and unfavorable foreign currency translation rate of Renminbi against the U.S. dollar during the current year period, partially offset by the increase in sales volume.</w:t>
      </w:r>
    </w:p>
    <w:p>
      <w:pPr>
        <w:spacing w:after="0" w:line="18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total discounts and rebates were immaterial for the three and six months ended June 30, 2022 as compared to the same periods a year ago due to the continuous settlement as well as transition from direct sales to sales to Falikang.</w:t>
      </w:r>
    </w:p>
    <w:p>
      <w:pPr>
        <w:spacing w:after="0" w:line="17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FibroGen Beijing manufactures and supplies commercial product to Falikang based on an agreed upon transfer price, which includes gross transfer price, net of calculated profit share. Revenue is recognized upon the transfer of control of commercial products to Falikang in an amount that reflects the allocation of the China performance obligation transaction price to the performance obligation satisfied during the reporting period. The variable consideration components that are included in the transaction price may be constrained, and are included in the product revenue only to the extent that it is probable that a significant reversal in the amount of the cumulative revenue recognized will not occur in a future period when the uncertainty associated with the variable consideration is subsequently resolved.</w:t>
      </w:r>
    </w:p>
    <w:p>
      <w:pPr>
        <w:spacing w:after="0" w:line="18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Sales to Falikang revenue, net increased $8.0 million, or 68% for the three months ended June 30, 2022, and $13.8 million, or 62% for the six months ended June 30, 2022 compared to the same periods a year ago. The gross transfer price increased $1.6 million and the calculated profit share increased $0.5 million for the three months ended June 30, 2022, and the gross transfer price remained relatively flat and the calculated profit share decreased $0.7 million for the six months ended June 30, 2022, primarily due to the increase in sales volume, offset by the lower NRDL price effective in the first quarter of 2022.</w:t>
      </w:r>
    </w:p>
    <w:p>
      <w:pPr>
        <w:spacing w:after="0" w:line="15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Following updates to our estimates, we recognized $1.5 million and $3.9 million from the previously deferred revenue of the China performance obligation for the three and six months ended June 30, 2022, respectively. Comparatively, for the three and six months ended June 30, 2021 we deferred $5.4 million and $9.3 million from the net transfer price to Falikang, which was included in the related deferred revenue of the China performance obligation.</w:t>
      </w:r>
    </w:p>
    <w:p>
      <w:pPr>
        <w:sectPr>
          <w:pgSz w:w="11900" w:h="16838" w:orient="portrait"/>
          <w:cols w:equalWidth="0" w:num="1">
            <w:col w:w="11240"/>
          </w:cols>
          <w:pgMar w:left="320" w:top="125" w:right="33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Drug Product Revenue</w:t>
      </w:r>
    </w:p>
    <w:p>
      <w:pPr>
        <w:spacing w:after="0" w:line="200" w:lineRule="exact"/>
        <w:rPr>
          <w:sz w:val="20"/>
          <w:szCs w:val="20"/>
          <w:color w:val="auto"/>
        </w:rPr>
      </w:pPr>
    </w:p>
    <w:p>
      <w:pPr>
        <w:spacing w:after="0" w:line="353" w:lineRule="exact"/>
        <w:rPr>
          <w:sz w:val="20"/>
          <w:szCs w:val="20"/>
          <w:color w:val="auto"/>
        </w:rPr>
      </w:pPr>
    </w:p>
    <w:p>
      <w:pPr>
        <w:ind w:left="200" w:right="120" w:hanging="179"/>
        <w:spacing w:after="0" w:line="276" w:lineRule="auto"/>
        <w:rPr>
          <w:sz w:val="20"/>
          <w:szCs w:val="20"/>
          <w:color w:val="auto"/>
        </w:rPr>
      </w:pPr>
      <w:r>
        <w:rPr>
          <w:rFonts w:ascii="Arial" w:cs="Arial" w:eastAsia="Arial" w:hAnsi="Arial"/>
          <w:sz w:val="16"/>
          <w:szCs w:val="16"/>
          <w:color w:val="auto"/>
        </w:rPr>
        <w:t>Drug product revenue: Astellas - Japan Agreement Astellas - Europe Agreement</w:t>
      </w:r>
    </w:p>
    <w:p>
      <w:pPr>
        <w:spacing w:after="0" w:line="1" w:lineRule="exact"/>
        <w:rPr>
          <w:sz w:val="20"/>
          <w:szCs w:val="20"/>
          <w:color w:val="auto"/>
        </w:rPr>
      </w:pPr>
    </w:p>
    <w:p>
      <w:pPr>
        <w:jc w:val="right"/>
        <w:ind w:left="200"/>
        <w:spacing w:after="0" w:line="358" w:lineRule="auto"/>
        <w:rPr>
          <w:sz w:val="20"/>
          <w:szCs w:val="20"/>
          <w:color w:val="auto"/>
        </w:rPr>
      </w:pPr>
      <w:r>
        <w:rPr>
          <w:rFonts w:ascii="Arial" w:cs="Arial" w:eastAsia="Arial" w:hAnsi="Arial"/>
          <w:sz w:val="16"/>
          <w:szCs w:val="16"/>
          <w:color w:val="auto"/>
        </w:rPr>
        <w:t>AstraZeneca - U.S. Agreement Total drug product revenue: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95123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200" w:type="dxa"/>
            <w:vAlign w:val="bottom"/>
            <w:gridSpan w:val="6"/>
          </w:tcPr>
          <w:p>
            <w:pPr>
              <w:jc w:val="right"/>
              <w:ind w:right="230"/>
              <w:spacing w:after="0"/>
              <w:rPr>
                <w:sz w:val="20"/>
                <w:szCs w:val="20"/>
                <w:color w:val="auto"/>
              </w:rPr>
            </w:pPr>
            <w:r>
              <w:rPr>
                <w:rFonts w:ascii="Arial" w:cs="Arial" w:eastAsia="Arial" w:hAnsi="Arial"/>
                <w:sz w:val="14"/>
                <w:szCs w:val="14"/>
                <w:b w:val="1"/>
                <w:bCs w:val="1"/>
                <w:color w:val="auto"/>
                <w:w w:val="93"/>
              </w:rPr>
              <w:t>Three Months Ended June 30,</w:t>
            </w:r>
          </w:p>
        </w:tc>
        <w:tc>
          <w:tcPr>
            <w:tcW w:w="160" w:type="dxa"/>
            <w:vAlign w:val="bottom"/>
          </w:tcPr>
          <w:p>
            <w:pPr>
              <w:spacing w:after="0"/>
              <w:rPr>
                <w:sz w:val="16"/>
                <w:szCs w:val="16"/>
                <w:color w:val="auto"/>
              </w:rPr>
            </w:pPr>
          </w:p>
        </w:tc>
        <w:tc>
          <w:tcPr>
            <w:tcW w:w="880" w:type="dxa"/>
            <w:vAlign w:val="bottom"/>
            <w:gridSpan w:val="3"/>
          </w:tcPr>
          <w:p>
            <w:pPr>
              <w:ind w:left="34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jc w:val="right"/>
              <w:ind w:right="350"/>
              <w:spacing w:after="0"/>
              <w:rPr>
                <w:sz w:val="20"/>
                <w:szCs w:val="20"/>
                <w:color w:val="auto"/>
              </w:rPr>
            </w:pPr>
            <w:r>
              <w:rPr>
                <w:rFonts w:ascii="Arial" w:cs="Arial" w:eastAsia="Arial" w:hAnsi="Arial"/>
                <w:sz w:val="14"/>
                <w:szCs w:val="14"/>
                <w:b w:val="1"/>
                <w:bCs w:val="1"/>
                <w:color w:val="auto"/>
                <w:w w:val="93"/>
              </w:rPr>
              <w:t>Six Months Ended June 30,</w:t>
            </w:r>
          </w:p>
        </w:tc>
        <w:tc>
          <w:tcPr>
            <w:tcW w:w="220" w:type="dxa"/>
            <w:vAlign w:val="bottom"/>
          </w:tcPr>
          <w:p>
            <w:pPr>
              <w:spacing w:after="0"/>
              <w:rPr>
                <w:sz w:val="16"/>
                <w:szCs w:val="16"/>
                <w:color w:val="auto"/>
              </w:rPr>
            </w:pPr>
          </w:p>
        </w:tc>
        <w:tc>
          <w:tcPr>
            <w:tcW w:w="860" w:type="dxa"/>
            <w:vAlign w:val="bottom"/>
            <w:gridSpan w:val="3"/>
          </w:tcPr>
          <w:p>
            <w:pPr>
              <w:ind w:left="32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69"/>
        </w:trPr>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80"/>
        </w:trPr>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38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(1,974 )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1,991</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101</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7,611</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2,056</w:t>
            </w:r>
          </w:p>
        </w:tc>
        <w:tc>
          <w:tcPr>
            <w:tcW w:w="2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100"/>
              <w:spacing w:after="0"/>
              <w:rPr>
                <w:sz w:val="20"/>
                <w:szCs w:val="20"/>
                <w:color w:val="auto"/>
              </w:rPr>
            </w:pPr>
            <w:r>
              <w:rPr>
                <w:rFonts w:ascii="Arial" w:cs="Arial" w:eastAsia="Arial" w:hAnsi="Arial"/>
                <w:sz w:val="18"/>
                <w:szCs w:val="18"/>
                <w:color w:val="auto"/>
                <w:w w:val="88"/>
              </w:rPr>
              <w:t>5,555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1,076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1,076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NM</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1,076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ind w:left="100"/>
              <w:spacing w:after="0" w:line="202" w:lineRule="exact"/>
              <w:rPr>
                <w:sz w:val="20"/>
                <w:szCs w:val="20"/>
                <w:color w:val="auto"/>
              </w:rPr>
            </w:pPr>
            <w:r>
              <w:rPr>
                <w:rFonts w:ascii="Arial" w:cs="Arial" w:eastAsia="Arial" w:hAnsi="Arial"/>
                <w:sz w:val="18"/>
                <w:szCs w:val="18"/>
                <w:color w:val="auto"/>
                <w:w w:val="88"/>
              </w:rPr>
              <w:t>1,076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NM</w:t>
            </w:r>
          </w:p>
        </w:tc>
        <w:tc>
          <w:tcPr>
            <w:tcW w:w="260" w:type="dxa"/>
            <w:vAlign w:val="bottom"/>
          </w:tcPr>
          <w:p>
            <w:pPr>
              <w:spacing w:after="0"/>
              <w:rPr>
                <w:sz w:val="17"/>
                <w:szCs w:val="17"/>
                <w:color w:val="auto"/>
              </w:rPr>
            </w:pPr>
          </w:p>
        </w:tc>
      </w:tr>
      <w:tr>
        <w:trPr>
          <w:trHeight w:val="217"/>
        </w:trPr>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(6,674 )</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6,674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NM</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(2,224 )</w:t>
            </w:r>
          </w:p>
        </w:tc>
        <w:tc>
          <w:tcPr>
            <w:tcW w:w="22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88"/>
              </w:rPr>
              <w:t>2,224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18"/>
                <w:szCs w:val="18"/>
                <w:color w:val="auto"/>
              </w:rPr>
            </w:pPr>
          </w:p>
        </w:tc>
      </w:tr>
      <w:tr>
        <w:trPr>
          <w:trHeight w:val="196"/>
        </w:trPr>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1,093</w:t>
            </w:r>
          </w:p>
        </w:tc>
        <w:tc>
          <w:tcPr>
            <w:tcW w:w="2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(8,648</w:t>
            </w:r>
          </w:p>
        </w:tc>
        <w:tc>
          <w:tcPr>
            <w:tcW w:w="280" w:type="dxa"/>
            <w:vAlign w:val="bottom"/>
          </w:tcPr>
          <w:p>
            <w:pPr>
              <w:jc w:val="right"/>
              <w:ind w:right="110"/>
              <w:spacing w:after="0" w:line="17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9,741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113</w:t>
            </w:r>
          </w:p>
        </w:tc>
        <w:tc>
          <w:tcPr>
            <w:tcW w:w="460" w:type="dxa"/>
            <w:vAlign w:val="bottom"/>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8,687</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(168</w:t>
            </w:r>
          </w:p>
        </w:tc>
        <w:tc>
          <w:tcPr>
            <w:tcW w:w="240" w:type="dxa"/>
            <w:vAlign w:val="bottom"/>
          </w:tcPr>
          <w:p>
            <w:pPr>
              <w:jc w:val="right"/>
              <w:ind w:right="70"/>
              <w:spacing w:after="0" w:line="17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ind w:left="100"/>
              <w:spacing w:after="0" w:line="182" w:lineRule="exact"/>
              <w:rPr>
                <w:sz w:val="20"/>
                <w:szCs w:val="20"/>
                <w:color w:val="auto"/>
              </w:rPr>
            </w:pPr>
            <w:r>
              <w:rPr>
                <w:rFonts w:ascii="Arial" w:cs="Arial" w:eastAsia="Arial" w:hAnsi="Arial"/>
                <w:sz w:val="18"/>
                <w:szCs w:val="18"/>
                <w:color w:val="auto"/>
                <w:w w:val="88"/>
              </w:rPr>
              <w:t>8,855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w w:val="97"/>
              </w:rPr>
              <w:t>5,271</w:t>
            </w:r>
          </w:p>
        </w:tc>
        <w:tc>
          <w:tcPr>
            <w:tcW w:w="2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858"/>
        </w:trPr>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-1233805</wp:posOffset>
            </wp:positionV>
            <wp:extent cx="7132320" cy="1289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-976630</wp:posOffset>
            </wp:positionV>
            <wp:extent cx="7132320" cy="1289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-710565</wp:posOffset>
            </wp:positionV>
            <wp:extent cx="7132320" cy="1543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47625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420" w:space="500"/>
            <w:col w:w="832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During the first quarter of 2022, we fulfilled a shipment obligation under the terms of Japan Amendment with Astellas and recognized related drug product revenue of $9.8 million in the same period. In addition, we updated our estimate of variable consideration related to the API shipments fulfilled under the terms of Japan Amendment with Astellas, and recorded a reduction to the drug product revenue of $2.2 million during the first quarter of 2022, a reduction to the drug product revenue of $2.0 million during the second quarter of 2021, and $4.0 million additional drug product revenue during the first quarter of 2021, respectively. Specifically, the change in estimated variable consideration was based on the API held by Astellas at period end, adjusted to reflect the changes in the estimated bulk product strength mix intended to be manufactured by Astellas, estimated cost to convert the API to bulk product tablets, and estimated yield from the manufacture of bulk product tablets, among others.</w:t>
      </w:r>
    </w:p>
    <w:p>
      <w:pPr>
        <w:spacing w:after="0" w:line="180"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During the second quarter of 2022, we transferred bulk drug product for commercial purposes under the terms of the Europe Agreement and the EU Supply Agreement with Astellas, and recognized the related fully burdened manufacturing costs of $1.0 million as drug product revenue, and recorded $23.2 million as deferred revenue due to a high degree of uncertainty associated with the final consideration. In addition, we recognized royalty revenue of $0.1 million as drug product revenue from the deferred revenue under the Europe Agreement during the second quarter of 2022. The remainder of the deferred revenue will be recognized as and when uncertainty is resolved, based on the performance of roxadustat product sales in the territory.</w:t>
      </w:r>
    </w:p>
    <w:p>
      <w:pPr>
        <w:spacing w:after="0" w:line="159"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During the first quarter of 2022, we billed and received $49.2 million from Astellas related to the annual transfer price true up for bulk drug product transferred for commercial purposes under the terms of the Europe Agreement and the EU Supply Agreement with Astellas. This amount was recorded in deferred revenue and netted against an unbilled contract asset as of December 31, 2021. During the first quarter of 2022, we updated our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we reclassified $43.3 million from deferred revenue to accrued liabilities as of June 30, 2022, representing our best estimate that this amount will be paid in the first quarter of 2023.</w:t>
      </w:r>
    </w:p>
    <w:p>
      <w:pPr>
        <w:spacing w:after="0" w:line="180"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During the first quarter of 2021, we shipped bulk drug product from process validation supplies for commercial purposes under the terms of the Europe Agreement with Astellas. We constrained the consideration of $11.8 million from this shipment due to a high degree of uncertainty associated to the final consideration, which was recorded as deferred revenue and will be recognized as and when uncertainty is resolved.</w:t>
      </w:r>
    </w:p>
    <w:p>
      <w:pPr>
        <w:spacing w:after="0" w:line="150"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We shipped bulk drug product to AstraZeneca as commercial supply under the terms of the Master Supply Agreement in 2020 and during the first half of 2021. Following the CRL for roxadustat in the U.S. received in August 2021, we evaluated the impact of these developments in revising our estimates of variable consideration associated with drug product revenue. As a result, we updated the estimated transaction price, and recorded $11.2 million as deferred revenue. During the first quarter of 2022, we evaluated the current developments in the U.S. market, and updated our estimates of variable consideration associated with bulk drug product shipments to AstraZeneca in prior years as commercial supply under the terms of the Master Supply Agreement. As a result, we reclassified $11.2 million from the related deferred revenue to accrued liabilities as of June 30, 2022.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20" w:type="dxa"/>
            <w:vAlign w:val="bottom"/>
          </w:tcPr>
          <w:p>
            <w:pPr>
              <w:spacing w:after="0"/>
              <w:rPr>
                <w:sz w:val="16"/>
                <w:szCs w:val="16"/>
                <w:color w:val="auto"/>
              </w:rPr>
            </w:pPr>
          </w:p>
        </w:tc>
        <w:tc>
          <w:tcPr>
            <w:tcW w:w="18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Three Months Ended June 30,</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w w:val="95"/>
              </w:rPr>
              <w:t>Six Months Ended June 30,</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3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costs and expenses</w:t>
            </w: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20" w:type="dxa"/>
            <w:vAlign w:val="bottom"/>
            <w:vMerge w:val="restart"/>
          </w:tcPr>
          <w:p>
            <w:pPr>
              <w:ind w:left="200"/>
              <w:spacing w:after="0"/>
              <w:rPr>
                <w:sz w:val="20"/>
                <w:szCs w:val="20"/>
                <w:color w:val="auto"/>
              </w:rPr>
            </w:pPr>
            <w:r>
              <w:rPr>
                <w:rFonts w:ascii="Arial" w:cs="Arial" w:eastAsia="Arial" w:hAnsi="Arial"/>
                <w:sz w:val="18"/>
                <w:szCs w:val="18"/>
                <w:color w:val="auto"/>
              </w:rPr>
              <w:t>Cost of goods sold</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6,809</w:t>
            </w:r>
          </w:p>
        </w:tc>
        <w:tc>
          <w:tcPr>
            <w:tcW w:w="44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3,078</w:t>
            </w:r>
          </w:p>
        </w:tc>
        <w:tc>
          <w:tcPr>
            <w:tcW w:w="46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3,731</w:t>
            </w:r>
          </w:p>
        </w:tc>
        <w:tc>
          <w:tcPr>
            <w:tcW w:w="200" w:type="dxa"/>
            <w:vAlign w:val="bottom"/>
          </w:tcPr>
          <w:p>
            <w:pPr>
              <w:spacing w:after="0"/>
              <w:rPr>
                <w:sz w:val="14"/>
                <w:szCs w:val="14"/>
                <w:color w:val="auto"/>
              </w:rPr>
            </w:pPr>
          </w:p>
        </w:tc>
        <w:tc>
          <w:tcPr>
            <w:tcW w:w="380" w:type="dxa"/>
            <w:vAlign w:val="bottom"/>
          </w:tcPr>
          <w:p>
            <w:pPr>
              <w:jc w:val="right"/>
              <w:spacing w:after="0" w:line="162" w:lineRule="exact"/>
              <w:rPr>
                <w:sz w:val="20"/>
                <w:szCs w:val="20"/>
                <w:color w:val="auto"/>
              </w:rPr>
            </w:pPr>
            <w:r>
              <w:rPr>
                <w:rFonts w:ascii="Arial" w:cs="Arial" w:eastAsia="Arial" w:hAnsi="Arial"/>
                <w:sz w:val="18"/>
                <w:szCs w:val="18"/>
                <w:color w:val="auto"/>
              </w:rPr>
              <w:t>12</w:t>
            </w:r>
          </w:p>
        </w:tc>
        <w:tc>
          <w:tcPr>
            <w:tcW w:w="4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11,048</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6,479</w:t>
            </w: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4,569</w:t>
            </w:r>
          </w:p>
        </w:tc>
        <w:tc>
          <w:tcPr>
            <w:tcW w:w="220" w:type="dxa"/>
            <w:vAlign w:val="bottom"/>
          </w:tcPr>
          <w:p>
            <w:pPr>
              <w:spacing w:after="0"/>
              <w:rPr>
                <w:sz w:val="14"/>
                <w:szCs w:val="14"/>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16"/>
        </w:trPr>
        <w:tc>
          <w:tcPr>
            <w:tcW w:w="28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20" w:type="dxa"/>
            <w:vAlign w:val="bottom"/>
            <w:vMerge w:val="restart"/>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70,963</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122,567</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(51,604 )</w:t>
            </w:r>
          </w:p>
        </w:tc>
        <w:tc>
          <w:tcPr>
            <w:tcW w:w="38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(4</w:t>
            </w: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159,981</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197,243</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(37,262 )</w:t>
            </w:r>
          </w:p>
        </w:tc>
        <w:tc>
          <w:tcPr>
            <w:tcW w:w="8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(19 ) %</w:t>
            </w:r>
          </w:p>
        </w:tc>
        <w:tc>
          <w:tcPr>
            <w:tcW w:w="0" w:type="dxa"/>
            <w:vAlign w:val="bottom"/>
          </w:tcPr>
          <w:p>
            <w:pPr>
              <w:spacing w:after="0"/>
              <w:rPr>
                <w:sz w:val="1"/>
                <w:szCs w:val="1"/>
                <w:color w:val="auto"/>
              </w:rPr>
            </w:pPr>
          </w:p>
        </w:tc>
      </w:tr>
      <w:tr>
        <w:trPr>
          <w:trHeight w:val="216"/>
        </w:trPr>
        <w:tc>
          <w:tcPr>
            <w:tcW w:w="282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8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2 ) %</w:t>
            </w:r>
          </w:p>
        </w:tc>
        <w:tc>
          <w:tcPr>
            <w:tcW w:w="20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8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200"/>
              <w:spacing w:after="0" w:line="162" w:lineRule="exact"/>
              <w:rPr>
                <w:sz w:val="20"/>
                <w:szCs w:val="20"/>
                <w:color w:val="auto"/>
              </w:rPr>
            </w:pPr>
            <w:r>
              <w:rPr>
                <w:rFonts w:ascii="Arial" w:cs="Arial" w:eastAsia="Arial" w:hAnsi="Arial"/>
                <w:sz w:val="18"/>
                <w:szCs w:val="18"/>
                <w:color w:val="auto"/>
              </w:rPr>
              <w:t>Selling, general and</w:t>
            </w: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30,258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32,554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(2,296 )</w:t>
            </w:r>
          </w:p>
        </w:tc>
        <w:tc>
          <w:tcPr>
            <w:tcW w:w="80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(7 ) %</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60,820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63,334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(2,514 )</w:t>
            </w: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(4 ) %</w:t>
            </w:r>
          </w:p>
        </w:tc>
        <w:tc>
          <w:tcPr>
            <w:tcW w:w="0" w:type="dxa"/>
            <w:vAlign w:val="bottom"/>
          </w:tcPr>
          <w:p>
            <w:pPr>
              <w:spacing w:after="0"/>
              <w:rPr>
                <w:sz w:val="1"/>
                <w:szCs w:val="1"/>
                <w:color w:val="auto"/>
              </w:rPr>
            </w:pPr>
          </w:p>
        </w:tc>
      </w:tr>
      <w:tr>
        <w:trPr>
          <w:trHeight w:val="203"/>
        </w:trPr>
        <w:tc>
          <w:tcPr>
            <w:tcW w:w="2820" w:type="dxa"/>
            <w:vAlign w:val="bottom"/>
          </w:tcPr>
          <w:p>
            <w:pPr>
              <w:ind w:left="200"/>
              <w:spacing w:after="0" w:line="202" w:lineRule="exact"/>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20" w:type="dxa"/>
            <w:vAlign w:val="bottom"/>
            <w:shd w:val="clear" w:color="auto" w:fill="CFF0FC"/>
          </w:tcPr>
          <w:p>
            <w:pPr>
              <w:ind w:left="380"/>
              <w:spacing w:after="0" w:line="156" w:lineRule="exact"/>
              <w:rPr>
                <w:sz w:val="20"/>
                <w:szCs w:val="20"/>
                <w:color w:val="auto"/>
              </w:rPr>
            </w:pPr>
            <w:r>
              <w:rPr>
                <w:rFonts w:ascii="Arial" w:cs="Arial" w:eastAsia="Arial" w:hAnsi="Arial"/>
                <w:sz w:val="18"/>
                <w:szCs w:val="18"/>
                <w:color w:val="auto"/>
              </w:rPr>
              <w:t>Total operating costs and</w:t>
            </w: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9"/>
              </w:rPr>
              <w:t>108,030</w:t>
            </w:r>
          </w:p>
        </w:tc>
        <w:tc>
          <w:tcPr>
            <w:tcW w:w="240" w:type="dxa"/>
            <w:vAlign w:val="bottom"/>
            <w:vMerge w:val="restart"/>
            <w:shd w:val="clear" w:color="auto" w:fill="CFF0FC"/>
          </w:tcPr>
          <w:p>
            <w:pPr>
              <w:spacing w:after="0"/>
              <w:rPr>
                <w:sz w:val="13"/>
                <w:szCs w:val="13"/>
                <w:color w:val="auto"/>
              </w:rPr>
            </w:pP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158,199</w:t>
            </w:r>
          </w:p>
        </w:tc>
        <w:tc>
          <w:tcPr>
            <w:tcW w:w="240" w:type="dxa"/>
            <w:vAlign w:val="bottom"/>
            <w:vMerge w:val="restart"/>
            <w:shd w:val="clear" w:color="auto" w:fill="CFF0FC"/>
          </w:tcPr>
          <w:p>
            <w:pPr>
              <w:spacing w:after="0"/>
              <w:rPr>
                <w:sz w:val="13"/>
                <w:szCs w:val="13"/>
                <w:color w:val="auto"/>
              </w:rPr>
            </w:pPr>
          </w:p>
        </w:tc>
        <w:tc>
          <w:tcPr>
            <w:tcW w:w="2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(50,169 )</w:t>
            </w:r>
          </w:p>
        </w:tc>
        <w:tc>
          <w:tcPr>
            <w:tcW w:w="38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color w:val="auto"/>
              </w:rPr>
              <w:t>(3</w:t>
            </w:r>
          </w:p>
        </w:tc>
        <w:tc>
          <w:tcPr>
            <w:tcW w:w="420" w:type="dxa"/>
            <w:vAlign w:val="bottom"/>
            <w:shd w:val="clear" w:color="auto" w:fill="CFF0FC"/>
          </w:tcPr>
          <w:p>
            <w:pPr>
              <w:spacing w:after="0"/>
              <w:rPr>
                <w:sz w:val="13"/>
                <w:szCs w:val="13"/>
                <w:color w:val="auto"/>
              </w:rPr>
            </w:pP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231,849</w:t>
            </w:r>
          </w:p>
        </w:tc>
        <w:tc>
          <w:tcPr>
            <w:tcW w:w="4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267,056</w:t>
            </w:r>
          </w:p>
        </w:tc>
        <w:tc>
          <w:tcPr>
            <w:tcW w:w="4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(35,207 )</w:t>
            </w:r>
          </w:p>
        </w:tc>
        <w:tc>
          <w:tcPr>
            <w:tcW w:w="8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(13 ) %</w:t>
            </w:r>
          </w:p>
        </w:tc>
        <w:tc>
          <w:tcPr>
            <w:tcW w:w="0" w:type="dxa"/>
            <w:vAlign w:val="bottom"/>
          </w:tcPr>
          <w:p>
            <w:pPr>
              <w:spacing w:after="0"/>
              <w:rPr>
                <w:sz w:val="1"/>
                <w:szCs w:val="1"/>
                <w:color w:val="auto"/>
              </w:rPr>
            </w:pPr>
          </w:p>
        </w:tc>
      </w:tr>
      <w:tr>
        <w:trPr>
          <w:trHeight w:val="196"/>
        </w:trPr>
        <w:tc>
          <w:tcPr>
            <w:tcW w:w="2820" w:type="dxa"/>
            <w:vAlign w:val="bottom"/>
            <w:shd w:val="clear" w:color="auto" w:fill="CFF0FC"/>
          </w:tcPr>
          <w:p>
            <w:pPr>
              <w:ind w:left="380"/>
              <w:spacing w:after="0" w:line="156" w:lineRule="exact"/>
              <w:rPr>
                <w:sz w:val="20"/>
                <w:szCs w:val="20"/>
                <w:color w:val="auto"/>
              </w:rPr>
            </w:pPr>
            <w:r>
              <w:rPr>
                <w:rFonts w:ascii="Arial" w:cs="Arial" w:eastAsia="Arial" w:hAnsi="Arial"/>
                <w:sz w:val="18"/>
                <w:szCs w:val="18"/>
                <w:color w:val="auto"/>
              </w:rPr>
              <w:t>expenses</w:t>
            </w:r>
          </w:p>
        </w:tc>
        <w:tc>
          <w:tcPr>
            <w:tcW w:w="120" w:type="dxa"/>
            <w:vAlign w:val="bottom"/>
            <w:vMerge w:val="continue"/>
            <w:shd w:val="clear" w:color="auto" w:fill="CFF0FC"/>
          </w:tcPr>
          <w:p>
            <w:pPr>
              <w:spacing w:after="0"/>
              <w:rPr>
                <w:sz w:val="17"/>
                <w:szCs w:val="17"/>
                <w:color w:val="auto"/>
              </w:rPr>
            </w:pPr>
          </w:p>
        </w:tc>
        <w:tc>
          <w:tcPr>
            <w:tcW w:w="620" w:type="dxa"/>
            <w:vAlign w:val="bottom"/>
            <w:vMerge w:val="continue"/>
            <w:shd w:val="clear" w:color="auto" w:fill="CFF0FC"/>
          </w:tcPr>
          <w:p>
            <w:pPr>
              <w:spacing w:after="0"/>
              <w:rPr>
                <w:sz w:val="17"/>
                <w:szCs w:val="17"/>
                <w:color w:val="auto"/>
              </w:rPr>
            </w:pPr>
          </w:p>
        </w:tc>
        <w:tc>
          <w:tcPr>
            <w:tcW w:w="240" w:type="dxa"/>
            <w:vAlign w:val="bottom"/>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700" w:type="dxa"/>
            <w:vAlign w:val="bottom"/>
            <w:vMerge w:val="continue"/>
            <w:shd w:val="clear" w:color="auto" w:fill="CFF0FC"/>
          </w:tcPr>
          <w:p>
            <w:pPr>
              <w:spacing w:after="0"/>
              <w:rPr>
                <w:sz w:val="17"/>
                <w:szCs w:val="17"/>
                <w:color w:val="auto"/>
              </w:rPr>
            </w:pPr>
          </w:p>
        </w:tc>
        <w:tc>
          <w:tcPr>
            <w:tcW w:w="240" w:type="dxa"/>
            <w:vAlign w:val="bottom"/>
            <w:vMerge w:val="continue"/>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800" w:type="dxa"/>
            <w:vAlign w:val="bottom"/>
            <w:gridSpan w:val="2"/>
            <w:shd w:val="clear" w:color="auto" w:fill="CFF0FC"/>
          </w:tcPr>
          <w:p>
            <w:pPr>
              <w:jc w:val="right"/>
              <w:ind w:right="70"/>
              <w:spacing w:after="0" w:line="156" w:lineRule="exact"/>
              <w:rPr>
                <w:sz w:val="20"/>
                <w:szCs w:val="20"/>
                <w:color w:val="auto"/>
              </w:rPr>
            </w:pPr>
            <w:r>
              <w:rPr>
                <w:rFonts w:ascii="Arial" w:cs="Arial" w:eastAsia="Arial" w:hAnsi="Arial"/>
                <w:sz w:val="18"/>
                <w:szCs w:val="18"/>
                <w:color w:val="auto"/>
              </w:rPr>
              <w:t>2 ) %</w:t>
            </w:r>
          </w:p>
        </w:tc>
        <w:tc>
          <w:tcPr>
            <w:tcW w:w="200" w:type="dxa"/>
            <w:vAlign w:val="bottom"/>
            <w:vMerge w:val="continue"/>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460" w:type="dxa"/>
            <w:vAlign w:val="bottom"/>
            <w:gridSpan w:val="2"/>
            <w:vMerge w:val="continue"/>
            <w:shd w:val="clear" w:color="auto" w:fill="CFF0FC"/>
          </w:tcPr>
          <w:p>
            <w:pPr>
              <w:spacing w:after="0"/>
              <w:rPr>
                <w:sz w:val="17"/>
                <w:szCs w:val="17"/>
                <w:color w:val="auto"/>
              </w:rPr>
            </w:pPr>
          </w:p>
        </w:tc>
        <w:tc>
          <w:tcPr>
            <w:tcW w:w="760" w:type="dxa"/>
            <w:vAlign w:val="bottom"/>
            <w:vMerge w:val="continue"/>
            <w:shd w:val="clear" w:color="auto" w:fill="CFF0FC"/>
          </w:tcPr>
          <w:p>
            <w:pPr>
              <w:spacing w:after="0"/>
              <w:rPr>
                <w:sz w:val="17"/>
                <w:szCs w:val="17"/>
                <w:color w:val="auto"/>
              </w:rPr>
            </w:pPr>
          </w:p>
        </w:tc>
        <w:tc>
          <w:tcPr>
            <w:tcW w:w="440" w:type="dxa"/>
            <w:vAlign w:val="bottom"/>
            <w:gridSpan w:val="2"/>
            <w:vMerge w:val="continue"/>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8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-24765</wp:posOffset>
            </wp:positionV>
            <wp:extent cx="774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-8255</wp:posOffset>
            </wp:positionV>
            <wp:extent cx="7747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-24765</wp:posOffset>
            </wp:positionV>
            <wp:extent cx="768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-8255</wp:posOffset>
            </wp:positionV>
            <wp:extent cx="7683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-24765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-8255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-8255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Total operating costs and expenses decreased $50.2 million, or 32% for the three months ended June 30, 2022, and $35.2 million or 13% for the six months ended June 30, 2022, compared to the same periods a year ago, for the reason discussed in the sections below.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 of Goods Sold</w:t>
      </w:r>
    </w:p>
    <w:p>
      <w:pPr>
        <w:spacing w:after="0" w:line="10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Cost of goods sold increased $3.7 million, or 121% for the three months ended June 30, 2022 and $4.6 million or 71% for the six months ended June 30, 2022, compared to the same periods a year ago.</w:t>
      </w:r>
    </w:p>
    <w:p>
      <w:pPr>
        <w:spacing w:after="0" w:line="17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Cost of goods sold, associated with the roxadustat commercial sales in China, consists of direct costs to manufacture commercial product, as well as indirect costs including factory overhead, storage, shipping, quality assurance, idle capacity charges, and inventory valuation adjustments. Cost of goods sold associated with the roxadustat commercial sales in China was $4.9 million for the three months ended June 30, 2022, as compared to $1.9 million to the same period a year ago, an increase of $3.0 million, or 152%, and was $7.5 million for the six months ended June 30, 2022, as compared to $4.6 million to the same period a year ago, an increase of $2.9 million, or 62%, resulting from the increase in the sales volume, partially offset by improved unit cost efficiency due to higher production volume.</w:t>
      </w:r>
    </w:p>
    <w:p>
      <w:pPr>
        <w:spacing w:after="0" w:line="189" w:lineRule="exact"/>
        <w:rPr>
          <w:sz w:val="20"/>
          <w:szCs w:val="20"/>
          <w:color w:val="auto"/>
        </w:rPr>
      </w:pPr>
    </w:p>
    <w:p>
      <w:pPr>
        <w:jc w:val="both"/>
        <w:ind w:right="100"/>
        <w:spacing w:after="0" w:line="262" w:lineRule="auto"/>
        <w:rPr>
          <w:sz w:val="20"/>
          <w:szCs w:val="20"/>
          <w:color w:val="auto"/>
        </w:rPr>
      </w:pPr>
      <w:r>
        <w:rPr>
          <w:rFonts w:ascii="Arial" w:cs="Arial" w:eastAsia="Arial" w:hAnsi="Arial"/>
          <w:sz w:val="17"/>
          <w:szCs w:val="17"/>
          <w:color w:val="auto"/>
        </w:rPr>
        <w:t>Cost of goods sold associated with the roxadustat drug product revenue in the U.S. was $1.7 million and $1.1 million for the three months ended June 30, 2022 and 2021, and $2.6 million and $1.9 million for the six months ended June 30, 2022 and 2021, respectively, associated with the costs of API or bulk drug product delivered to Astellas and AstraZeneca in the respective periods. We expect costs of goods sold to increase in relation to drug product revenue as we deplete inventories that we had expensed prior to receiving regulatory approvals.</w:t>
      </w:r>
    </w:p>
    <w:p>
      <w:pPr>
        <w:spacing w:after="0" w:line="17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Cost of goods sold for the three and six months ended June 30, 2022 also included manufacturing costs of $0.3 million and $0.9 million, respectively, related to our contract manufacturing revenue from Eluminex.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108"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Research and development expenses consist of third-party research and development costs and the fully-burdened amount of costs associated with work performed under collaboration agreements. Research and development expenses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 Research and development expenses also include in-process research and development assets that have no alternative future use other than in a particular research and development project. Following the CRL for roxadustat in the U.S., we have implemented a cost reduction effort, and as a result, research and development expenses have decreased and may continue to decrease in certain areas over time.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incurred during the three and six months ended June 30, 2022 and 2021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Product Candidate</w:t>
            </w:r>
          </w:p>
        </w:tc>
        <w:tc>
          <w:tcPr>
            <w:tcW w:w="160" w:type="dxa"/>
            <w:vAlign w:val="bottom"/>
          </w:tcPr>
          <w:p>
            <w:pPr>
              <w:spacing w:after="0"/>
              <w:rPr>
                <w:sz w:val="11"/>
                <w:szCs w:val="11"/>
                <w:color w:val="auto"/>
              </w:rPr>
            </w:pPr>
          </w:p>
        </w:tc>
        <w:tc>
          <w:tcPr>
            <w:tcW w:w="146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Phase of</w:t>
            </w:r>
          </w:p>
        </w:tc>
        <w:tc>
          <w:tcPr>
            <w:tcW w:w="300" w:type="dxa"/>
            <w:vAlign w:val="bottom"/>
          </w:tcPr>
          <w:p>
            <w:pPr>
              <w:spacing w:after="0"/>
              <w:rPr>
                <w:sz w:val="11"/>
                <w:szCs w:val="11"/>
                <w:color w:val="auto"/>
              </w:rPr>
            </w:pPr>
          </w:p>
        </w:tc>
        <w:tc>
          <w:tcPr>
            <w:tcW w:w="98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3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Development</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thousands)</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Roxadustat</w:t>
            </w:r>
          </w:p>
        </w:tc>
        <w:tc>
          <w:tcPr>
            <w:tcW w:w="1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Phase 3</w:t>
            </w: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10,747</w:t>
            </w:r>
          </w:p>
        </w:tc>
        <w:tc>
          <w:tcPr>
            <w:tcW w:w="6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27,313</w:t>
            </w:r>
          </w:p>
        </w:tc>
        <w:tc>
          <w:tcPr>
            <w:tcW w:w="700" w:type="dxa"/>
            <w:vAlign w:val="bottom"/>
            <w:gridSpan w:val="2"/>
            <w:shd w:val="clear" w:color="auto" w:fill="CFF0FC"/>
          </w:tcPr>
          <w:p>
            <w:pPr>
              <w:jc w:val="center"/>
              <w:ind w:right="8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27,418</w:t>
            </w:r>
          </w:p>
        </w:tc>
        <w:tc>
          <w:tcPr>
            <w:tcW w:w="5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53,641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line="202" w:lineRule="exact"/>
              <w:rPr>
                <w:sz w:val="20"/>
                <w:szCs w:val="20"/>
                <w:color w:val="auto"/>
              </w:rPr>
            </w:pPr>
            <w:r>
              <w:rPr>
                <w:rFonts w:ascii="Arial" w:cs="Arial" w:eastAsia="Arial" w:hAnsi="Arial"/>
                <w:sz w:val="18"/>
                <w:szCs w:val="18"/>
                <w:color w:val="auto"/>
              </w:rPr>
              <w:t>Pamrevlumab</w:t>
            </w:r>
          </w:p>
        </w:tc>
        <w:tc>
          <w:tcPr>
            <w:tcW w:w="160" w:type="dxa"/>
            <w:vAlign w:val="bottom"/>
          </w:tcPr>
          <w:p>
            <w:pPr>
              <w:spacing w:after="0"/>
              <w:rPr>
                <w:sz w:val="17"/>
                <w:szCs w:val="17"/>
                <w:color w:val="auto"/>
              </w:rPr>
            </w:pPr>
          </w:p>
        </w:tc>
        <w:tc>
          <w:tcPr>
            <w:tcW w:w="14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Phase 2/3</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48,107</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58,277</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109,512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93,523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w w:val="95"/>
              </w:rPr>
              <w:t>Other research and development expenses</w:t>
            </w:r>
          </w:p>
        </w:tc>
        <w:tc>
          <w:tcPr>
            <w:tcW w:w="16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12,109</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36,977</w:t>
            </w:r>
          </w:p>
        </w:tc>
        <w:tc>
          <w:tcPr>
            <w:tcW w:w="26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23,051</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50,079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Pr>
          <w:p>
            <w:pPr>
              <w:ind w:left="200"/>
              <w:spacing w:after="0" w:line="182" w:lineRule="exact"/>
              <w:rPr>
                <w:sz w:val="20"/>
                <w:szCs w:val="20"/>
                <w:color w:val="auto"/>
              </w:rPr>
            </w:pPr>
            <w:r>
              <w:rPr>
                <w:rFonts w:ascii="Arial" w:cs="Arial" w:eastAsia="Arial" w:hAnsi="Arial"/>
                <w:sz w:val="18"/>
                <w:szCs w:val="18"/>
                <w:color w:val="auto"/>
                <w:w w:val="91"/>
              </w:rPr>
              <w:t>Total research and development expenses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70,963</w:t>
            </w:r>
          </w:p>
        </w:tc>
        <w:tc>
          <w:tcPr>
            <w:tcW w:w="6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122,567</w:t>
            </w:r>
          </w:p>
        </w:tc>
        <w:tc>
          <w:tcPr>
            <w:tcW w:w="700" w:type="dxa"/>
            <w:vAlign w:val="bottom"/>
            <w:gridSpan w:val="2"/>
          </w:tcPr>
          <w:p>
            <w:pPr>
              <w:jc w:val="center"/>
              <w:ind w:right="80"/>
              <w:spacing w:after="0" w:line="18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159,981</w:t>
            </w:r>
          </w:p>
        </w:tc>
        <w:tc>
          <w:tcPr>
            <w:tcW w:w="58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197,243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-159385</wp:posOffset>
            </wp:positionV>
            <wp:extent cx="7747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-159385</wp:posOffset>
            </wp:positionV>
            <wp:extent cx="68580"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-159385</wp:posOffset>
            </wp:positionV>
            <wp:extent cx="6858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w:t>
      </w:r>
    </w:p>
    <w:p>
      <w:pPr>
        <w:spacing w:after="0" w:line="18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Research and development expenses decreased $51.6 million, or 42% for the three months ended June 30, 2022, compared to the same period a year ago, as a result of the net effect of the following:</w:t>
      </w:r>
    </w:p>
    <w:p>
      <w:pPr>
        <w:spacing w:after="0" w:line="63"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Decrease of $25.0 million for acquired in-process research and development asset from HiFiBiO, which incurred in the prior year period;</w:t>
      </w:r>
    </w:p>
    <w:p>
      <w:pPr>
        <w:spacing w:after="0" w:line="115" w:lineRule="exact"/>
        <w:rPr>
          <w:rFonts w:ascii="Arial" w:cs="Arial" w:eastAsia="Arial" w:hAnsi="Arial"/>
          <w:sz w:val="17"/>
          <w:szCs w:val="17"/>
          <w:color w:val="auto"/>
        </w:rPr>
      </w:pPr>
    </w:p>
    <w:p>
      <w:pPr>
        <w:ind w:left="520" w:right="40" w:hanging="512"/>
        <w:spacing w:after="0" w:line="261"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 of $13.4 million in drug development expenses associated with drug substance and drug product manufacturing activities primarily related to pamrevlumab;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 of $6.1 million in clinical trials costs, primarily due to Phase 3 trials for pamrevlumab and CKD studies for roxadustat; and</w:t>
      </w:r>
    </w:p>
    <w:p>
      <w:pPr>
        <w:spacing w:after="0" w:line="103" w:lineRule="exact"/>
        <w:rPr>
          <w:rFonts w:ascii="Arial" w:cs="Arial" w:eastAsia="Arial" w:hAnsi="Arial"/>
          <w:sz w:val="18"/>
          <w:szCs w:val="18"/>
          <w:color w:val="auto"/>
        </w:rPr>
      </w:pPr>
    </w:p>
    <w:p>
      <w:pPr>
        <w:jc w:val="both"/>
        <w:ind w:left="520" w:right="500" w:hanging="512"/>
        <w:spacing w:after="0" w:line="324"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Decrease of $3.7 million in employee-related costs and decrease of $1.6 million in stock-based compensation expenses primarily due to lower headcount as part of the cost reduction effort we started to implement in the second half of 2021 following the CRL for roxadustat in the U.S.</w:t>
      </w:r>
    </w:p>
    <w:p>
      <w:pPr>
        <w:spacing w:after="0" w:line="12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Research and development expenses decreased $37.3 million or 19% for the six months ended June 30, 2022, compared to the same period a year ago, as a result of the net effect of the following:</w:t>
      </w:r>
    </w:p>
    <w:p>
      <w:pPr>
        <w:spacing w:after="0" w:line="63"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Decrease of $25.0 million for acquired in-process research and development asset from HiFiBiO, which incurred in the prior year period; and</w:t>
      </w:r>
    </w:p>
    <w:p>
      <w:pPr>
        <w:spacing w:after="0" w:line="115" w:lineRule="exact"/>
        <w:rPr>
          <w:rFonts w:ascii="Arial" w:cs="Arial" w:eastAsia="Arial" w:hAnsi="Arial"/>
          <w:sz w:val="17"/>
          <w:szCs w:val="17"/>
          <w:color w:val="auto"/>
        </w:rPr>
      </w:pPr>
    </w:p>
    <w:p>
      <w:pPr>
        <w:jc w:val="both"/>
        <w:ind w:left="520" w:right="500" w:hanging="512"/>
        <w:spacing w:after="0" w:line="324"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Decrease of $6.7 million in employee-related costs and decrease of $4.2 million in stock-based compensation expenses primarily due to lower headcount as part of the cost reduction effort we started to implement in the second half of 2021 following the CRL for roxadustat in the 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 Expenses</w:t>
      </w:r>
    </w:p>
    <w:p>
      <w:pPr>
        <w:spacing w:after="0" w:line="108"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associated with our commercialization efforts in China, recruiting fees and expenses associated with obtaining and maintaining patents. Following the CRL for roxadustat in the U.S., we have implemented a cost reduction effort, and as a result, SG&amp;A expenses have decreased and may continue to decrease in certain areas over time.</w:t>
      </w:r>
    </w:p>
    <w:p>
      <w:pPr>
        <w:spacing w:after="0" w:line="17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SG&amp;A expenses decreased $2.3 million, or 7% for the three months ended June 30, 2022, compared to the same period a year ago, primarily as a result of the following:</w:t>
      </w:r>
    </w:p>
    <w:p>
      <w:pPr>
        <w:spacing w:after="0" w:line="63" w:lineRule="exact"/>
        <w:rPr>
          <w:sz w:val="20"/>
          <w:szCs w:val="20"/>
          <w:color w:val="auto"/>
        </w:rPr>
      </w:pPr>
    </w:p>
    <w:p>
      <w:pPr>
        <w:ind w:left="520" w:right="80" w:hanging="512"/>
        <w:spacing w:after="0" w:line="261"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of $1.9 million in legal expenses primarily associated with less corporate legal activities and proprietary-related activities compared to the prior year period; and</w:t>
      </w:r>
    </w:p>
    <w:p>
      <w:pPr>
        <w:spacing w:after="0" w:line="62" w:lineRule="exact"/>
        <w:rPr>
          <w:rFonts w:ascii="Arial" w:cs="Arial" w:eastAsia="Arial" w:hAnsi="Arial"/>
          <w:sz w:val="18"/>
          <w:szCs w:val="18"/>
          <w:color w:val="auto"/>
        </w:rPr>
      </w:pPr>
    </w:p>
    <w:p>
      <w:pPr>
        <w:ind w:left="520" w:right="240" w:hanging="512"/>
        <w:spacing w:after="0" w:line="261"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of $0.8 million in stock-based compensation expenses primarily due to lower headcount as part of the cost reduction effort we started to implement in the second half of 2021 following the CRL for roxadustat in the U.S.</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SG&amp;A expenses decreased $2.5 million, or 4% for the six months ended June 30, 2022, compared to the same period a year ago, as a result of the net effect of the following:</w:t>
      </w:r>
    </w:p>
    <w:p>
      <w:pPr>
        <w:spacing w:after="0" w:line="63"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 of $1.7 million in outside services expenses due to lower sample costs for roxadustat in China; and</w:t>
      </w:r>
    </w:p>
    <w:p>
      <w:pPr>
        <w:spacing w:after="0" w:line="103" w:lineRule="exact"/>
        <w:rPr>
          <w:rFonts w:ascii="Arial" w:cs="Arial" w:eastAsia="Arial" w:hAnsi="Arial"/>
          <w:sz w:val="18"/>
          <w:szCs w:val="18"/>
          <w:color w:val="auto"/>
        </w:rPr>
      </w:pPr>
    </w:p>
    <w:p>
      <w:pPr>
        <w:ind w:left="520" w:right="80" w:hanging="512"/>
        <w:spacing w:after="0" w:line="261"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 of $1.3 million in legal expenses primarily associated with less corporate legal activities and proprietary-related activities compared to the prior year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21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Three Months Ended June 30,</w:t>
            </w:r>
          </w:p>
        </w:tc>
        <w:tc>
          <w:tcPr>
            <w:tcW w:w="920" w:type="dxa"/>
            <w:vAlign w:val="bottom"/>
            <w:gridSpan w:val="3"/>
          </w:tcPr>
          <w:p>
            <w:pPr>
              <w:ind w:left="420"/>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8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Pr>
          <w:p>
            <w:pPr>
              <w:spacing w:after="0"/>
              <w:rPr>
                <w:sz w:val="16"/>
                <w:szCs w:val="16"/>
                <w:color w:val="auto"/>
              </w:rPr>
            </w:pPr>
          </w:p>
        </w:tc>
        <w:tc>
          <w:tcPr>
            <w:tcW w:w="840" w:type="dxa"/>
            <w:vAlign w:val="bottom"/>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79"/>
              </w:rPr>
              <w:t>(dollars</w:t>
            </w:r>
          </w:p>
        </w:tc>
        <w:tc>
          <w:tcPr>
            <w:tcW w:w="1140" w:type="dxa"/>
            <w:vAlign w:val="bottom"/>
            <w:gridSpan w:val="3"/>
          </w:tcPr>
          <w:p>
            <w:pPr>
              <w:jc w:val="right"/>
              <w:ind w:right="215"/>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and other, net:</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(141 )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(355 )</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  214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56"/>
              <w:spacing w:after="0" w:line="202" w:lineRule="exact"/>
              <w:rPr>
                <w:sz w:val="20"/>
                <w:szCs w:val="20"/>
                <w:color w:val="auto"/>
              </w:rPr>
            </w:pPr>
            <w:r>
              <w:rPr>
                <w:rFonts w:ascii="Arial" w:cs="Arial" w:eastAsia="Arial" w:hAnsi="Arial"/>
                <w:sz w:val="18"/>
                <w:szCs w:val="18"/>
                <w:color w:val="auto"/>
              </w:rPr>
              <w:t>(60 ) %</w:t>
            </w:r>
          </w:p>
        </w:tc>
        <w:tc>
          <w:tcPr>
            <w:tcW w:w="1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(238 )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(856 )</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618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(72 ) %</w:t>
            </w:r>
          </w:p>
        </w:tc>
        <w:tc>
          <w:tcPr>
            <w:tcW w:w="0" w:type="dxa"/>
            <w:vAlign w:val="bottom"/>
          </w:tcPr>
          <w:p>
            <w:pPr>
              <w:spacing w:after="0"/>
              <w:rPr>
                <w:sz w:val="1"/>
                <w:szCs w:val="1"/>
                <w:color w:val="auto"/>
              </w:rPr>
            </w:pPr>
          </w:p>
        </w:tc>
      </w:tr>
      <w:tr>
        <w:trPr>
          <w:trHeight w:val="162"/>
        </w:trPr>
        <w:tc>
          <w:tcPr>
            <w:tcW w:w="372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5"/>
              </w:rPr>
              <w:t>Interest income and other income (expenses),</w:t>
            </w:r>
          </w:p>
        </w:tc>
        <w:tc>
          <w:tcPr>
            <w:tcW w:w="180" w:type="dxa"/>
            <w:vAlign w:val="bottom"/>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5,199</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(363 )</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5,562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w w:val="96"/>
              </w:rPr>
              <w:t>1,53</w:t>
            </w:r>
          </w:p>
        </w:tc>
        <w:tc>
          <w:tcPr>
            <w:tcW w:w="420" w:type="dxa"/>
            <w:vAlign w:val="bottom"/>
            <w:vMerge w:val="restart"/>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4"/>
                <w:szCs w:val="14"/>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4,876</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(817 )</w:t>
            </w:r>
          </w:p>
        </w:tc>
        <w:tc>
          <w:tcPr>
            <w:tcW w:w="160" w:type="dxa"/>
            <w:vAlign w:val="bottom"/>
            <w:shd w:val="clear" w:color="auto" w:fill="CFF0FC"/>
          </w:tcPr>
          <w:p>
            <w:pPr>
              <w:spacing w:after="0"/>
              <w:rPr>
                <w:sz w:val="14"/>
                <w:szCs w:val="14"/>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5,693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w:t>
            </w:r>
          </w:p>
        </w:tc>
        <w:tc>
          <w:tcPr>
            <w:tcW w:w="180" w:type="dxa"/>
            <w:vAlign w:val="bottom"/>
            <w:shd w:val="clear" w:color="auto" w:fill="CFF0FC"/>
          </w:tcPr>
          <w:p>
            <w:pPr>
              <w:spacing w:after="0"/>
              <w:rPr>
                <w:sz w:val="17"/>
                <w:szCs w:val="17"/>
                <w:color w:val="auto"/>
              </w:rPr>
            </w:pPr>
          </w:p>
        </w:tc>
        <w:tc>
          <w:tcPr>
            <w:tcW w:w="66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58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42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vMerge w:val="continue"/>
            <w:shd w:val="clear" w:color="auto" w:fill="CFF0FC"/>
          </w:tcPr>
          <w:p>
            <w:pPr>
              <w:spacing w:after="0"/>
              <w:rPr>
                <w:sz w:val="17"/>
                <w:szCs w:val="17"/>
                <w:color w:val="auto"/>
              </w:rPr>
            </w:pPr>
          </w:p>
        </w:tc>
        <w:tc>
          <w:tcPr>
            <w:tcW w:w="28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tcPr>
          <w:p>
            <w:pPr>
              <w:ind w:left="380"/>
              <w:spacing w:after="0" w:line="182" w:lineRule="exact"/>
              <w:rPr>
                <w:sz w:val="20"/>
                <w:szCs w:val="20"/>
                <w:color w:val="auto"/>
              </w:rPr>
            </w:pPr>
            <w:r>
              <w:rPr>
                <w:rFonts w:ascii="Arial" w:cs="Arial" w:eastAsia="Arial" w:hAnsi="Arial"/>
                <w:sz w:val="18"/>
                <w:szCs w:val="18"/>
                <w:color w:val="auto"/>
              </w:rPr>
              <w:t>Total interest and other, net</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5,058</w:t>
            </w:r>
          </w:p>
        </w:tc>
        <w:tc>
          <w:tcPr>
            <w:tcW w:w="260" w:type="dxa"/>
            <w:vAlign w:val="bottom"/>
          </w:tcPr>
          <w:p>
            <w:pPr>
              <w:spacing w:after="0"/>
              <w:rPr>
                <w:sz w:val="17"/>
                <w:szCs w:val="17"/>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(718 )</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w w:val="89"/>
              </w:rPr>
              <w:t>$ 5,776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804</w:t>
            </w:r>
          </w:p>
        </w:tc>
        <w:tc>
          <w:tcPr>
            <w:tcW w:w="420" w:type="dxa"/>
            <w:vAlign w:val="bottom"/>
          </w:tcPr>
          <w:p>
            <w:pPr>
              <w:jc w:val="right"/>
              <w:ind w:right="56"/>
              <w:spacing w:after="0" w:line="182" w:lineRule="exact"/>
              <w:rPr>
                <w:sz w:val="20"/>
                <w:szCs w:val="20"/>
                <w:color w:val="auto"/>
              </w:rPr>
            </w:pPr>
            <w:r>
              <w:rPr>
                <w:rFonts w:ascii="Arial" w:cs="Arial" w:eastAsia="Arial" w:hAnsi="Arial"/>
                <w:sz w:val="18"/>
                <w:szCs w:val="18"/>
                <w:color w:val="auto"/>
              </w:rPr>
              <w:t>%</w:t>
            </w:r>
          </w:p>
        </w:tc>
        <w:tc>
          <w:tcPr>
            <w:tcW w:w="1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4,638</w:t>
            </w:r>
          </w:p>
        </w:tc>
        <w:tc>
          <w:tcPr>
            <w:tcW w:w="220" w:type="dxa"/>
            <w:vAlign w:val="bottom"/>
          </w:tcPr>
          <w:p>
            <w:pPr>
              <w:spacing w:after="0"/>
              <w:rPr>
                <w:sz w:val="17"/>
                <w:szCs w:val="17"/>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(1,673 )</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6,311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377</w:t>
            </w:r>
          </w:p>
        </w:tc>
        <w:tc>
          <w:tcPr>
            <w:tcW w:w="2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-639445</wp:posOffset>
            </wp:positionV>
            <wp:extent cx="76835"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-639445</wp:posOffset>
            </wp:positionV>
            <wp:extent cx="7747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-639445</wp:posOffset>
            </wp:positionV>
            <wp:extent cx="76835"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-639445</wp:posOffset>
            </wp:positionV>
            <wp:extent cx="68580"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-639445</wp:posOffset>
            </wp:positionV>
            <wp:extent cx="68580"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-639445</wp:posOffset>
            </wp:positionV>
            <wp:extent cx="6858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0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Interest expense relates to our finance lease liabilities accretion primarily for our leased facilities in San Francisco and China. Interest expense also includes interest related to the Technology Development Center of the Republic of Finland product development obligations.</w:t>
      </w:r>
    </w:p>
    <w:p>
      <w:pPr>
        <w:spacing w:after="0" w:line="17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Interest expense decreased $0.2 million, or 60% for the three months ended June 30, 2022, and $0.6 million or 72% for the six months ended June 30, 2022 compared to the same periods a year ago. The decrease was primarily due to the lease modification and renewal in 2021 being classified as operating leases, as compared to finance leases previously.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Income and Other Income (Expenses), Net</w:t>
      </w:r>
    </w:p>
    <w:p>
      <w:pPr>
        <w:spacing w:after="0" w:line="108"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Interest income and other income (expenses),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and other non-operating income and expenses.</w:t>
      </w:r>
    </w:p>
    <w:p>
      <w:pPr>
        <w:spacing w:after="0" w:line="182" w:lineRule="exact"/>
        <w:rPr>
          <w:sz w:val="20"/>
          <w:szCs w:val="20"/>
          <w:color w:val="auto"/>
        </w:rPr>
      </w:pPr>
    </w:p>
    <w:p>
      <w:pPr>
        <w:jc w:val="both"/>
        <w:ind w:right="160"/>
        <w:spacing w:after="0" w:line="243" w:lineRule="auto"/>
        <w:rPr>
          <w:sz w:val="20"/>
          <w:szCs w:val="20"/>
          <w:color w:val="auto"/>
        </w:rPr>
      </w:pPr>
      <w:r>
        <w:rPr>
          <w:rFonts w:ascii="Arial" w:cs="Arial" w:eastAsia="Arial" w:hAnsi="Arial"/>
          <w:sz w:val="18"/>
          <w:szCs w:val="18"/>
          <w:color w:val="auto"/>
        </w:rPr>
        <w:t xml:space="preserve">Interest income and other income (expenses), net improved $5.6 million, or 1,532% for the three months ended June 30, 2022, and $5.7 million, or 697% for the six months ended June 30, 2022 compared to the same periods a year ago, primarily due to a reduction of $6.0 million recorded during the second quarter of 2022 to other expenses to release the previously estimated late payment fees related to value added tax in China. See Note 9, </w:t>
      </w:r>
      <w:r>
        <w:rPr>
          <w:rFonts w:ascii="Arial" w:cs="Arial" w:eastAsia="Arial" w:hAnsi="Arial"/>
          <w:sz w:val="18"/>
          <w:szCs w:val="18"/>
          <w:i w:val="1"/>
          <w:iCs w:val="1"/>
          <w:color w:val="auto"/>
        </w:rPr>
        <w:t>Subsequent Event</w:t>
      </w:r>
      <w:r>
        <w:rPr>
          <w:rFonts w:ascii="Arial" w:cs="Arial" w:eastAsia="Arial" w:hAnsi="Arial"/>
          <w:sz w:val="18"/>
          <w:szCs w:val="18"/>
          <w:color w:val="auto"/>
        </w:rPr>
        <w:t>, to the condensed consolidated financial statements for details.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6"/>
          </w:tcPr>
          <w:p>
            <w:pPr>
              <w:jc w:val="right"/>
              <w:ind w:right="588"/>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3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w w:val="89"/>
              </w:rPr>
              <w:t>2022</w:t>
            </w:r>
          </w:p>
        </w:tc>
        <w:tc>
          <w:tcPr>
            <w:tcW w:w="4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r>
      <w:tr>
        <w:trPr>
          <w:trHeight w:val="169"/>
        </w:trPr>
        <w:tc>
          <w:tcPr>
            <w:tcW w:w="4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(dollars</w:t>
            </w: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w w:val="89"/>
              </w:rPr>
              <w:t>in thousands)</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03"/>
        </w:trPr>
        <w:tc>
          <w:tcPr>
            <w:tcW w:w="4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(73,166 )</w:t>
            </w:r>
          </w:p>
        </w:tc>
        <w:tc>
          <w:tcPr>
            <w:tcW w:w="7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(134,553 )</w:t>
            </w:r>
          </w:p>
        </w:tc>
        <w:tc>
          <w:tcPr>
            <w:tcW w:w="86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0"/>
              <w:spacing w:after="0" w:line="202" w:lineRule="exact"/>
              <w:rPr>
                <w:sz w:val="20"/>
                <w:szCs w:val="20"/>
                <w:color w:val="auto"/>
              </w:rPr>
            </w:pPr>
            <w:r>
              <w:rPr>
                <w:rFonts w:ascii="Arial" w:cs="Arial" w:eastAsia="Arial" w:hAnsi="Arial"/>
                <w:sz w:val="18"/>
                <w:szCs w:val="18"/>
                <w:color w:val="auto"/>
                <w:w w:val="99"/>
              </w:rPr>
              <w:t>(136,578 )</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(205,936 )</w:t>
            </w:r>
          </w:p>
        </w:tc>
      </w:tr>
      <w:tr>
        <w:trPr>
          <w:trHeight w:val="203"/>
        </w:trPr>
        <w:tc>
          <w:tcPr>
            <w:tcW w:w="4360" w:type="dxa"/>
            <w:vAlign w:val="bottom"/>
          </w:tcPr>
          <w:p>
            <w:pPr>
              <w:ind w:left="20"/>
              <w:spacing w:after="0" w:line="202" w:lineRule="exact"/>
              <w:rPr>
                <w:sz w:val="20"/>
                <w:szCs w:val="20"/>
                <w:color w:val="auto"/>
              </w:rPr>
            </w:pPr>
            <w:r>
              <w:rPr>
                <w:rFonts w:ascii="Arial" w:cs="Arial" w:eastAsia="Arial" w:hAnsi="Arial"/>
                <w:sz w:val="18"/>
                <w:szCs w:val="18"/>
                <w:color w:val="auto"/>
              </w:rPr>
              <w:t>Provision for (benefit from) income taxes</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(3 )</w:t>
            </w: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136</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380" w:type="dxa"/>
            <w:vAlign w:val="bottom"/>
          </w:tcPr>
          <w:p>
            <w:pPr>
              <w:spacing w:after="0"/>
              <w:rPr>
                <w:sz w:val="17"/>
                <w:szCs w:val="17"/>
                <w:color w:val="auto"/>
              </w:rPr>
            </w:pPr>
          </w:p>
        </w:tc>
      </w:tr>
      <w:tr>
        <w:trPr>
          <w:trHeight w:val="203"/>
        </w:trPr>
        <w:tc>
          <w:tcPr>
            <w:tcW w:w="4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Effective tax rate</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(0.1 ) %</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(0.1 )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Provisions for (benefit from) income taxes for the three and six months ended June 30, 2022 and 2021 were primarily due to foreign taxes.</w:t>
      </w:r>
    </w:p>
    <w:p>
      <w:pPr>
        <w:spacing w:after="0" w:line="212"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 We intend to continue maintaining a full valuation allowance on our deferred tax assets until there is sufficient evidence to support the reversal of all or some portion of this allowance. However, given our anticipated future foreign earnings, we believe that there is a reasonable possibility that within the next 12 months, sufficient positive evidence may become available to allow us to reach a conclusion that a portion of the valuation allowance may no longer be needed. Release of the valuation allowance would result in the recognition of certain deferred tax assets and a decrease to income tax expense for the period the release is recorded. The exact timing and amount of the valuation allowance release are subject to change on the basis of the level of profitability that we are able to actually achieve.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in Unconsolidated Variable Interest Entity</w:t>
      </w:r>
    </w:p>
    <w:p>
      <w:pPr>
        <w:spacing w:after="0" w:line="10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 xml:space="preserve">Investment income in unconsolidated variable interest entity represented our proportionate share of the reported profits of Falikang, an unconsolidated variable interest entity accounted for under the equity method, and was immaterial for the three and six months ended June 30, 2022 and 2021. See Note 3, </w:t>
      </w:r>
      <w:r>
        <w:rPr>
          <w:rFonts w:ascii="Arial" w:cs="Arial" w:eastAsia="Arial" w:hAnsi="Arial"/>
          <w:sz w:val="18"/>
          <w:szCs w:val="18"/>
          <w:i w:val="1"/>
          <w:iCs w:val="1"/>
          <w:color w:val="auto"/>
        </w:rPr>
        <w:t>Variable Interest Entity</w:t>
      </w:r>
      <w:r>
        <w:rPr>
          <w:rFonts w:ascii="Arial" w:cs="Arial" w:eastAsia="Arial" w:hAnsi="Arial"/>
          <w:sz w:val="18"/>
          <w:szCs w:val="18"/>
          <w:color w:val="auto"/>
        </w:rPr>
        <w:t>, to the condensed consolidated financial statements for details.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Conditions</w:t>
      </w:r>
    </w:p>
    <w:p>
      <w:pPr>
        <w:spacing w:after="0" w:line="10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have historically funded our operations principally from the sale of common stock (including our public offering proceeds) and from the execution of collaboration agreements involving license payments, milestones and reimbursement for development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we had cash and cash equivalents of $167.8 million, compared to $171.2 million as of December 31, 2021. Cash is invested in accordance with our investment policy, primarily with a view to liquidity and capital preservation. Investments, consisting of available-for-sale securities, and stated at fair value, are also available as a source of liquidity. As of June 30, 2022, we had short-term and long-term investments of $270.4 million and $45.9 million, respectively, compared to $234.0 million and $167.8 million, respectively, as of December 31, 2021. As of June 30, 2022, a total of $98.8 million of our cash and cash equivalents was held outside of the U.S. in our foreign subsidiaries, including $77.5 million held in China, to be used primarily for our China operations.</w:t>
      </w:r>
    </w:p>
    <w:p>
      <w:pPr>
        <w:spacing w:after="0" w:line="189"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Cash flows from Falikang, a distribution joint venture between FibroGen Beijing and AstraZeneca, and cash flows into FibroGen Beijing, are currently intended to remain onshore in China. Our long-term plans for distributing cash flows from FibroGen Beijing may involve any number of scenarios including keeping the money onshore to fund future expansion of our China operations or paying down certain debt obligations. To date, no such debt repayments have occurred, nor have there been any other payments or distributions from FibroGen Beijing to entities or investors outside of China. Our capital contributions to FibroGen Beijing and the liquidity position of FibroGen Beijing depend on many factors, including those set forth under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in this Quarterly Report.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primary sources and uses of cash and cash equivalents for each of the periods set forth below (in thousands):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60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96"/>
        </w:trPr>
        <w:tc>
          <w:tcPr>
            <w:tcW w:w="6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(used in):</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000" w:type="dxa"/>
            <w:vAlign w:val="bottom"/>
          </w:tcPr>
          <w:p>
            <w:pPr>
              <w:ind w:left="180"/>
              <w:spacing w:after="0" w:line="202" w:lineRule="exact"/>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(41,540 )</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(71,527 )</w:t>
            </w:r>
          </w:p>
        </w:tc>
      </w:tr>
      <w:tr>
        <w:trPr>
          <w:trHeight w:val="203"/>
        </w:trPr>
        <w:tc>
          <w:tcPr>
            <w:tcW w:w="6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43,240</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(254,252 )</w:t>
            </w:r>
          </w:p>
        </w:tc>
      </w:tr>
      <w:tr>
        <w:trPr>
          <w:trHeight w:val="203"/>
        </w:trPr>
        <w:tc>
          <w:tcPr>
            <w:tcW w:w="6000" w:type="dxa"/>
            <w:vAlign w:val="bottom"/>
          </w:tcPr>
          <w:p>
            <w:pPr>
              <w:ind w:left="180"/>
              <w:spacing w:after="0" w:line="202" w:lineRule="exact"/>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(806 )</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301</w:t>
            </w:r>
          </w:p>
        </w:tc>
        <w:tc>
          <w:tcPr>
            <w:tcW w:w="80" w:type="dxa"/>
            <w:vAlign w:val="bottom"/>
          </w:tcPr>
          <w:p>
            <w:pPr>
              <w:spacing w:after="0"/>
              <w:rPr>
                <w:sz w:val="17"/>
                <w:szCs w:val="17"/>
                <w:color w:val="auto"/>
              </w:rPr>
            </w:pPr>
          </w:p>
        </w:tc>
      </w:tr>
      <w:tr>
        <w:trPr>
          <w:trHeight w:val="203"/>
        </w:trPr>
        <w:tc>
          <w:tcPr>
            <w:tcW w:w="6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(4,359 )</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446</w:t>
            </w:r>
          </w:p>
        </w:tc>
        <w:tc>
          <w:tcPr>
            <w:tcW w:w="80" w:type="dxa"/>
            <w:vAlign w:val="bottom"/>
            <w:shd w:val="clear" w:color="auto" w:fill="CFF0FC"/>
          </w:tcPr>
          <w:p>
            <w:pPr>
              <w:spacing w:after="0"/>
              <w:rPr>
                <w:sz w:val="17"/>
                <w:szCs w:val="17"/>
                <w:color w:val="auto"/>
              </w:rPr>
            </w:pPr>
          </w:p>
        </w:tc>
      </w:tr>
      <w:tr>
        <w:trPr>
          <w:trHeight w:val="20"/>
        </w:trPr>
        <w:tc>
          <w:tcPr>
            <w:tcW w:w="60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6000" w:type="dxa"/>
            <w:vAlign w:val="bottom"/>
          </w:tcPr>
          <w:p>
            <w:pPr>
              <w:ind w:left="360"/>
              <w:spacing w:after="0" w:line="182" w:lineRule="exact"/>
              <w:rPr>
                <w:sz w:val="20"/>
                <w:szCs w:val="20"/>
                <w:color w:val="auto"/>
              </w:rPr>
            </w:pPr>
            <w:r>
              <w:rPr>
                <w:rFonts w:ascii="Arial" w:cs="Arial" w:eastAsia="Arial" w:hAnsi="Arial"/>
                <w:sz w:val="18"/>
                <w:szCs w:val="18"/>
                <w:color w:val="auto"/>
              </w:rPr>
              <w:t>Net decrease in cash and cash equivalents</w:t>
            </w: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(3,465 )</w:t>
            </w: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(325,032 )</w:t>
            </w:r>
          </w:p>
        </w:tc>
      </w:tr>
      <w:tr>
        <w:trPr>
          <w:trHeight w:val="20"/>
        </w:trPr>
        <w:tc>
          <w:tcPr>
            <w:tcW w:w="6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-159385</wp:posOffset>
            </wp:positionV>
            <wp:extent cx="51435"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Net cash used in operating activities was $41.5 million for the six months ended June 30, 2022 and consisted primarily of net loss of $135.8 million adjusted for non-operating cash items of $39.7 million, offset by a net increase in operating assets and liabilities of $54.6 million. The significant non-operating cash items included stock-based compensation expense of $33.8 million, and depreciation expense of $5.0 million. The significant items in the changes in operating assets and liabilities included the increases resulting from the following:</w:t>
      </w:r>
    </w:p>
    <w:p>
      <w:pPr>
        <w:spacing w:after="0" w:line="80" w:lineRule="exact"/>
        <w:rPr>
          <w:sz w:val="20"/>
          <w:szCs w:val="20"/>
          <w:color w:val="auto"/>
        </w:rPr>
      </w:pPr>
    </w:p>
    <w:p>
      <w:pPr>
        <w:ind w:left="520" w:hanging="512"/>
        <w:spacing w:after="0" w:line="255"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Accrued and other liabilities of $61.0 million, primarily related to the total of 54.4 million for API and bulk drug product price true-up as of June 30, 2022, resulting from changes in estimated variable consideration associated with the API shipments fulfilled under the terms of the Japan Amendment with Astellas, the bulk drug product transferred under the terms of the Europe Agreement and the EU Supply Agreement with Astellas, and the bulk drug product shipments to AstraZeneca under the terms of the Master Supply Agreement. See Note 2, </w:t>
      </w:r>
      <w:r>
        <w:rPr>
          <w:rFonts w:ascii="Arial" w:cs="Arial" w:eastAsia="Arial" w:hAnsi="Arial"/>
          <w:sz w:val="17"/>
          <w:szCs w:val="17"/>
          <w:i w:val="1"/>
          <w:iCs w:val="1"/>
          <w:color w:val="auto"/>
        </w:rPr>
        <w:t>Collaboration Agreements,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License Agreement and Revenues, </w:t>
      </w:r>
      <w:r>
        <w:rPr>
          <w:rFonts w:ascii="Arial" w:cs="Arial" w:eastAsia="Arial" w:hAnsi="Arial"/>
          <w:sz w:val="17"/>
          <w:szCs w:val="17"/>
          <w:color w:val="auto"/>
        </w:rPr>
        <w:t>to the condensed consolidated financial statements for details. The accrued and other liabilities were also</w:t>
      </w:r>
      <w:r>
        <w:rPr>
          <w:rFonts w:ascii="Arial" w:cs="Arial" w:eastAsia="Arial" w:hAnsi="Arial"/>
          <w:sz w:val="17"/>
          <w:szCs w:val="17"/>
          <w:i w:val="1"/>
          <w:iCs w:val="1"/>
          <w:color w:val="auto"/>
        </w:rPr>
        <w:t xml:space="preserve"> </w:t>
      </w:r>
      <w:r>
        <w:rPr>
          <w:rFonts w:ascii="Arial" w:cs="Arial" w:eastAsia="Arial" w:hAnsi="Arial"/>
          <w:sz w:val="17"/>
          <w:szCs w:val="17"/>
          <w:color w:val="auto"/>
        </w:rPr>
        <w:t>impacted by the classification of a portion of accrued co-promotion expenses from other long-term liabilities to current liabilities based on the updated estimate of timing for payment, and by the timing of invoicing and payment;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left="520" w:right="640" w:hanging="512"/>
        <w:spacing w:after="0" w:line="291"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Prepaid expenses and other current assets of $11.6 million, primarily due to the collection of $8.0 million from Eluminex for upfront license payment during the first quarter of 2022, and less prepayments made for roxadustat API manufacturing activities; and</w:t>
      </w:r>
    </w:p>
    <w:p>
      <w:pPr>
        <w:spacing w:after="0" w:line="38" w:lineRule="exact"/>
        <w:rPr>
          <w:rFonts w:ascii="Arial" w:cs="Arial" w:eastAsia="Arial" w:hAnsi="Arial"/>
          <w:sz w:val="17"/>
          <w:szCs w:val="17"/>
          <w:color w:val="auto"/>
        </w:rPr>
      </w:pPr>
    </w:p>
    <w:p>
      <w:pPr>
        <w:ind w:left="520" w:right="100" w:hanging="512"/>
        <w:spacing w:after="0" w:line="243"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Deferred revenue of $9.7 million, primarily related to the deferred considerations of the bulk drug product transferred to Astellas under the terms of the Europe Agreement and the EU Supply Agreement during the current year period, offset by the above-mentioned reclassification to accrued liabilities, resulting from changes in estimated variable consideration associated with the API or bulk drug product deliveries fulfilled with Astellas and AstraZeneca;</w:t>
      </w:r>
    </w:p>
    <w:p>
      <w:pPr>
        <w:spacing w:after="0" w:line="79"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Accounts payable of $4.2 million, primarily driven by the timing of invoicing and payments.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increases were partially offset by the decreases resulting from the following:</w:t>
      </w:r>
    </w:p>
    <w:p>
      <w:pPr>
        <w:spacing w:after="0" w:line="104" w:lineRule="exact"/>
        <w:rPr>
          <w:sz w:val="20"/>
          <w:szCs w:val="20"/>
          <w:color w:val="auto"/>
        </w:rPr>
      </w:pPr>
    </w:p>
    <w:p>
      <w:pPr>
        <w:ind w:left="520" w:right="480" w:hanging="512"/>
        <w:spacing w:after="0" w:line="26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Accounts receivable of $16.2 million, primarily due to the receivable related to the bulk drug product transferred to Astellas during the second quarter of 2022;</w:t>
      </w:r>
    </w:p>
    <w:p>
      <w:pPr>
        <w:spacing w:after="0" w:line="62" w:lineRule="exact"/>
        <w:rPr>
          <w:rFonts w:ascii="Arial" w:cs="Arial" w:eastAsia="Arial" w:hAnsi="Arial"/>
          <w:sz w:val="18"/>
          <w:szCs w:val="18"/>
          <w:color w:val="auto"/>
        </w:rPr>
      </w:pPr>
    </w:p>
    <w:p>
      <w:pPr>
        <w:ind w:left="520" w:right="480" w:hanging="512"/>
        <w:spacing w:after="0" w:line="26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Inventories of $10.9 million, driven by the increased inventory level primarily related to inventory cost capitalized related to Europe and other territories, and FibroGen Beijing’s productions of roxadustat for commercial sales purposes; and</w:t>
      </w:r>
    </w:p>
    <w:p>
      <w:pPr>
        <w:spacing w:after="0" w:line="62" w:lineRule="exact"/>
        <w:rPr>
          <w:rFonts w:ascii="Arial" w:cs="Arial" w:eastAsia="Arial" w:hAnsi="Arial"/>
          <w:sz w:val="18"/>
          <w:szCs w:val="18"/>
          <w:color w:val="auto"/>
        </w:rPr>
      </w:pPr>
    </w:p>
    <w:p>
      <w:pPr>
        <w:ind w:left="520" w:right="220" w:hanging="512"/>
        <w:spacing w:after="0" w:line="26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long-term liabilities of $7.1 million driven by the above-mentioned classification of a portion of accrued co-promotion expenses from other long-term liabilities to current liabilities based on the updated estimate of timing for payment.</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Net cash used in operating activities was $71.5 million for the six months ended June 30, 2021 and consisted primarily of net loss of $205.7 million adjusted for non-cash items of $73.5 million, offset by a net increase in operating assets and liabilities of $60.7 million. The significant non-operating cash items included stock-based compensation expense of $38.4 million, expense for acquired in-process research and development asset from HiFiBiO of $25.0 million, depreciation expense of $5.2 million and amortization of finance lease right-of-use assets of $4.4 million. The significant items in the changes in operating assets and liabilities included the increases resulting from the following:</w:t>
      </w:r>
    </w:p>
    <w:p>
      <w:pPr>
        <w:spacing w:after="0" w:line="66" w:lineRule="exact"/>
        <w:rPr>
          <w:sz w:val="20"/>
          <w:szCs w:val="20"/>
          <w:color w:val="auto"/>
        </w:rPr>
      </w:pPr>
    </w:p>
    <w:p>
      <w:pPr>
        <w:ind w:left="520" w:right="220" w:hanging="512"/>
        <w:spacing w:after="0" w:line="241"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Deferred revenue of $33.1 million, primarily related to the above-mentioned $11.8 million and $11.2 million of the deferred considerations of the bulk drug product shipped to Astellas and AstraZeneca, respectively, due to a high degree of uncertainty associated to the final consideration, and $9.3 million of the deferred revenue from the sales to Falikang associated with the China performance obligation. The change in deferred revenue was also driven by the extension of the estimated future non-contingent development period and recognition of revenues under our collaboration agreements with Astellas and AstraZeneca;</w:t>
      </w:r>
    </w:p>
    <w:p>
      <w:pPr>
        <w:spacing w:after="0" w:line="81"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Accrued and other liabilities of $27.7 million, primarily driven by the timing of invoicing and payment; and</w:t>
      </w:r>
    </w:p>
    <w:p>
      <w:pPr>
        <w:spacing w:after="0" w:line="10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Accounts receivable of $17.9 million, primarily driven by the timing of the receipt of upfront payments and the recognition of revenues under our collaboration agreements with Astellas and AstraZeneca, as well as the collection from our distributors and Falikang.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increases were partially offset by the decreases resulting from the following:</w:t>
      </w:r>
    </w:p>
    <w:p>
      <w:pPr>
        <w:spacing w:after="0" w:line="104" w:lineRule="exact"/>
        <w:rPr>
          <w:sz w:val="20"/>
          <w:szCs w:val="20"/>
          <w:color w:val="auto"/>
        </w:rPr>
      </w:pPr>
    </w:p>
    <w:p>
      <w:pPr>
        <w:ind w:left="520" w:right="760" w:hanging="512"/>
        <w:spacing w:after="0" w:line="291"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 long-term liabilities of $8.1 million, primarily due to the decrease in the co-promotional expenses with AstraZeneca for its sales and marketing efforts related to the commercial launch of roxadustat in China that are not expected to be paid in the next year; and</w:t>
      </w:r>
    </w:p>
    <w:p>
      <w:pPr>
        <w:spacing w:after="0" w:line="38" w:lineRule="exact"/>
        <w:rPr>
          <w:rFonts w:ascii="Arial" w:cs="Arial" w:eastAsia="Arial" w:hAnsi="Arial"/>
          <w:sz w:val="17"/>
          <w:szCs w:val="17"/>
          <w:color w:val="auto"/>
        </w:rPr>
      </w:pPr>
    </w:p>
    <w:p>
      <w:pPr>
        <w:ind w:left="520" w:hanging="512"/>
        <w:spacing w:after="0" w:line="261"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Inventories of $7.9 million, driven by the increased inventory level primarily related to FibroGen Beijing’s productions of roxadustat for commercial sales purposes and inventory cost capitalized in the 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Investing activities primarily consist of purchases of property and equipment, purchases of investments, purchase of acquired in-process research and development asset and proceeds from the maturity and sale of investments.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Net cash provided by investing activities was $43.2 million for the six months ended June 30, 2022 and consisted primarily of $132.5 million of proceeds from maturities of investments and $7.4 million of proceeds from sales of available-for-sale securities, partially offset by $59.1 million of cash used in purchases of available-for-sale securities and $35.0 million of cash paid for the acquired in-process research and development asset.</w:t>
      </w:r>
    </w:p>
    <w:p>
      <w:pPr>
        <w:spacing w:after="0" w:line="164"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Net cash used in investing activities was $254.3 million for the six months ended June 30, 2021 and consisted primarily of $266.6 million of cash used in purchases of available-for-sale securities, partially offset by $10.6 million of proceeds from maturities of investments, and $4.0 million of proceeds from sales of available-for-sale securities.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Financing activities primarily reflect proceeds from the issuance of our common stock, cash paid for payroll taxes on restricted stock unit releases, repayments of our lease liabilities and obligations.</w:t>
      </w:r>
    </w:p>
    <w:p>
      <w:pPr>
        <w:spacing w:after="0" w:line="171" w:lineRule="exact"/>
        <w:rPr>
          <w:sz w:val="20"/>
          <w:szCs w:val="20"/>
          <w:color w:val="auto"/>
        </w:rPr>
      </w:pPr>
    </w:p>
    <w:p>
      <w:pPr>
        <w:jc w:val="both"/>
        <w:ind w:right="300"/>
        <w:spacing w:after="0" w:line="248" w:lineRule="auto"/>
        <w:rPr>
          <w:sz w:val="20"/>
          <w:szCs w:val="20"/>
          <w:color w:val="auto"/>
        </w:rPr>
      </w:pPr>
      <w:r>
        <w:rPr>
          <w:rFonts w:ascii="Arial" w:cs="Arial" w:eastAsia="Arial" w:hAnsi="Arial"/>
          <w:sz w:val="18"/>
          <w:szCs w:val="18"/>
          <w:color w:val="auto"/>
        </w:rPr>
        <w:t>Net cash used in financing activities was $0.8 million for the six months ended June 30, 2022 and consisted primarily of $3.4 million of cash paid for payroll taxes on restricted stock unit releases, partially offset by $2.8 million of proceeds from the issuance of common stock upon exercise of stock options and purchases under our Employee Share Purchase Plan (“ESPP”).</w:t>
      </w: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Net cash provided by financing activities was $0.3 million for the six months ended June 30, 2021 and consisted primarily of $11.8 million of proceeds from the issuance of common stock upon exercise of stock options and purchases under our ESPP, partially offset by $5.9 million of cash paid for payroll taxes on restricted stock unit releases, and $5.3 million of repayments of finance lease liabilities.</w:t>
      </w:r>
    </w:p>
    <w:p>
      <w:pPr>
        <w:spacing w:after="0" w:line="1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10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the third quarter of 2019, we started generating revenue from commercial sales of roxadustat product in China. Even with the expectation of increases in revenue from product sales, we anticipate that we will continue to generate losses for the foreseeable future. Following the CRL for roxadustat in the U.S., we have implemented a cost reduction effort, and as a result, operating expenses have decreased and may continue to decrease in certain areas over time compared to our previous internal plans. To date, we have funded certain portions of our research and development and manufacturing efforts globally through collaboration partners, government support, and capital investment. There is no guarantee that sufficient funds will be available to continue to fund these development efforts through commercialization or otherwise. Although AstraZeneca is currently funding all non-China collaboration expenses not reimbursed by Astellas, including development of MDS in the U.S., we expect our research and development expenses to continue to increase as we invest in our other programs. Additionally, we have not been able to agree on a path forward for AstraZeneca to fund further roxadustat development in the U.S. for CKD anemia. We are also subject to all the risks related to the development and commercialization of novel therapeutics, and we may encounter unforeseen expenses, difficulties, complications, delays and other unknown factors that may adversely affect our business, such as from the COVID-19 pandemic or other factors outlined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Quarterly Report on Form 10-Q. We anticipate that we will need substantial additional funding in connection with our continuing operations.</w:t>
      </w:r>
    </w:p>
    <w:p>
      <w:pPr>
        <w:spacing w:after="0" w:line="17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We believe that our existing cash and cash equivalents, short-term and long-term investments and accounts receivable will be sufficient to meet our anticipated cash requirements for at least the next 12 months from the date of issuance of these financial statements. However, we may need additional capital thereafter and our liquidity assumptions could turn out to be wrong, or may change over time, and we could utilize our available financial resources sooner than we currently expect. In addition, we may elect to raise additional funds at any time through equity, equity-linked, debt financing arrangements or from other sources. Our forecast of the period of time through which our financial resources will be adequate to support our operations is a forward-looking statement and involves risks and uncertainties, and actual results could vary as a result of a number of factors. Our future capital requirements and the adequacy of available funds will depend on many factors, including those set forth 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costs and expenses, which would impair our growth prospects and could otherwise negatively impact our business.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0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As of June 30, 2022, we had $94.1 million of operating lease liabilities. The material cash requirements related to our lease liabilities included $15.2 million expected to be paid within the next 12 months.</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As of June 30, 2022, we had outstanding total non-cancelable purchase obligations of $57.7 million, including $33.2 million for manufacture and supply of pamrevlumab, $9.2 million for manufacture and supply of roxadustat, and $15.3 million for other purchases and programs. We expect to fulfill our commitments under these agreements in the normal course of business, and as such, no liability has been recorded. The material cash requirements related to our non-cancelable purchase obligations included $35.8 million expected to be paid within the next 12 months.</w:t>
      </w:r>
    </w:p>
    <w:p>
      <w:pPr>
        <w:spacing w:after="0" w:line="172" w:lineRule="exact"/>
        <w:rPr>
          <w:sz w:val="20"/>
          <w:szCs w:val="20"/>
          <w:color w:val="auto"/>
        </w:rPr>
      </w:pPr>
    </w:p>
    <w:p>
      <w:pPr>
        <w:ind w:right="320"/>
        <w:spacing w:after="0" w:line="279" w:lineRule="auto"/>
        <w:rPr>
          <w:sz w:val="20"/>
          <w:szCs w:val="20"/>
          <w:color w:val="auto"/>
        </w:rPr>
      </w:pPr>
      <w:r>
        <w:rPr>
          <w:rFonts w:ascii="Arial" w:cs="Arial" w:eastAsia="Arial" w:hAnsi="Arial"/>
          <w:sz w:val="16"/>
          <w:szCs w:val="16"/>
          <w:color w:val="auto"/>
        </w:rPr>
        <w:t>Some of our license agreements provide for periodic maintenance fees over specified time periods, as well as payments by the Company upon the achievement of development, regulatory and commercial milestones. As of June 30, 2022, future milestone payments for research and preclinical stage development programs consisted of up to approximately $697.9 million in total potential future milestone payments under our license agreements with HiFiBiO (for Gal-9 and CCR8), Medarex, Inc. and others. These milestone payments generally become due and payable only upon the achievement of certain developmental, clinical, regulatory and/or commercial milestones. The event triggering such payment or obligation has not yet occurred.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color w:val="auto"/>
        </w:rPr>
        <w:t>During the three and six months ended June 30, 2022,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recently issued accounting guidance, see Note 1,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to the condensed consolidated financial statements.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There have been no material changes in our critical accounting policies, estimates and judgments during the three and six months ended June 30, 2022 compared with the disclosures in Part II, Item 7 of our 2021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During the three and six months ended June 30, 2022, we believe there were no material changes to our exposure to market risks as set forth in Part II,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in our 2021 Form 10-K.</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has evaluated the effectiveness of our disclosure controls and procedures as of June 30, 2022, the end of the period covered by this Quarterly Report on Form 10-Q. Disclosure controls and procedures (as defined in Rules 13a-15(e) and 15d-15(e) under the 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Based on our evaluation, the Chief Executive Officer and Chief Financial Officer have concluded that our disclosure controls and procedures were effective at the reasonable assurance level as of June 30,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three months ended June 30, 2022 that materially affected, or are reasonably likely to materially affect, our internal control over financial reporting.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0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We are a party to various legal actions that arose in the ordinary course of our business. We recognize accruals for any legal action when we conclude that a loss is probable and reasonably estimable. We did not have any material accruals for any active legal action in our consolidated balance sheets as of June 30, 2022, as we could not predict the ultimate outcome of these matters, or reasonably estimate the potential exposure. See Note 8,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to the condensed consolidated financial statements for details.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deem immaterial may also impair our business operations.</w:t>
      </w:r>
    </w:p>
    <w:p>
      <w:pPr>
        <w:spacing w:after="0" w:line="180"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 xml:space="preserve">We have marked with an asterisk (*) those risks described below that reflect substantive changes from the risks described under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included in our Annual Report on Form 10-K for the year ended December 31, 2021, filed on February 28, 2022 and as amended on March 4,</w:t>
      </w:r>
      <w:r>
        <w:rPr>
          <w:rFonts w:ascii="Arial" w:cs="Arial" w:eastAsia="Arial" w:hAnsi="Arial"/>
          <w:sz w:val="18"/>
          <w:szCs w:val="18"/>
          <w:i w:val="1"/>
          <w:iCs w:val="1"/>
          <w:color w:val="auto"/>
        </w:rPr>
        <w:t xml:space="preserve"> </w:t>
      </w:r>
      <w:r>
        <w:rPr>
          <w:rFonts w:ascii="Arial" w:cs="Arial" w:eastAsia="Arial" w:hAnsi="Arial"/>
          <w:sz w:val="18"/>
          <w:szCs w:val="18"/>
          <w:color w:val="auto"/>
        </w:rPr>
        <w:t>2022 (“2021 Form 10-K”).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0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success of FibroGen will depend on a number of factors, many of which are beyond our control and involve risks, including but not limited to the following: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08"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lead products pamrevlumab and roxadustat.*</w:t>
      </w:r>
    </w:p>
    <w:p>
      <w:pPr>
        <w:spacing w:after="0" w:line="11" w:lineRule="exact"/>
        <w:rPr>
          <w:rFonts w:ascii="Arial" w:cs="Arial" w:eastAsia="Arial" w:hAnsi="Arial"/>
          <w:sz w:val="18"/>
          <w:szCs w:val="18"/>
          <w:color w:val="auto"/>
        </w:rPr>
      </w:pPr>
    </w:p>
    <w:p>
      <w:pPr>
        <w:ind w:left="1020" w:right="820" w:hanging="503"/>
        <w:spacing w:after="0" w:line="264"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a company, we have limited commercialization experience, and the time and resources required to develop such experience are significant. If we fail to achieve and sustain commercial success for any of our products, our business would be harmed.</w:t>
      </w:r>
    </w:p>
    <w:p>
      <w:pPr>
        <w:ind w:left="1020" w:right="180" w:hanging="503"/>
        <w:spacing w:after="0" w:line="23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Drug development and obtaining marketing authorization is a very difficult endeavor and we may ultimately be unable to obtain regulatory approval for our various product candidates in one or more jurisdictions and in one or more indications.</w:t>
      </w:r>
    </w:p>
    <w:p>
      <w:pPr>
        <w:spacing w:after="0" w:line="1" w:lineRule="exact"/>
        <w:rPr>
          <w:rFonts w:ascii="Arial" w:cs="Arial" w:eastAsia="Arial" w:hAnsi="Arial"/>
          <w:sz w:val="18"/>
          <w:szCs w:val="18"/>
          <w:color w:val="auto"/>
        </w:rPr>
      </w:pPr>
    </w:p>
    <w:p>
      <w:pPr>
        <w:ind w:left="1020" w:right="960" w:hanging="503"/>
        <w:spacing w:after="0" w:line="23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complete response letter we received from the FDA for roxadustat has decreased the likelihood of approval and successful commercialization of roxadustat in the U.S. and potentially other markets. There is a significant risk that our U.S./Rest of World Collaboration Agreement with AstraZeneca will be amended or terminated.*</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Preclinical, Phase 1 and Phase 2 clinical trial results may not be indicative of the results that may be obtained in larger clinical trials.</w:t>
      </w:r>
    </w:p>
    <w:p>
      <w:pPr>
        <w:spacing w:after="0" w:line="7" w:lineRule="exact"/>
        <w:rPr>
          <w:rFonts w:ascii="Arial" w:cs="Arial" w:eastAsia="Arial" w:hAnsi="Arial"/>
          <w:sz w:val="17"/>
          <w:szCs w:val="17"/>
          <w:color w:val="auto"/>
        </w:rPr>
      </w:pPr>
    </w:p>
    <w:p>
      <w:pPr>
        <w:ind w:left="1020" w:right="280" w:hanging="503"/>
        <w:spacing w:after="0" w:line="248"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spacing w:after="0" w:line="1" w:lineRule="exact"/>
        <w:rPr>
          <w:rFonts w:ascii="Arial" w:cs="Arial" w:eastAsia="Arial" w:hAnsi="Arial"/>
          <w:sz w:val="17"/>
          <w:szCs w:val="17"/>
          <w:color w:val="auto"/>
        </w:rPr>
      </w:pPr>
    </w:p>
    <w:p>
      <w:pPr>
        <w:ind w:left="1020" w:right="420" w:hanging="503"/>
        <w:spacing w:after="0" w:line="23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product candidates may cause or have attributed to them undesirable side effects or have other properties that delay or prevent their regulatory approval or limit their commercial potential.</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trials of our product candidates may not uncover all possible adverse effects that patients may experience.</w:t>
      </w:r>
    </w:p>
    <w:p>
      <w:pPr>
        <w:ind w:left="1020" w:right="460" w:hanging="503"/>
        <w:spacing w:after="0" w:line="23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our manufacturers or we cannot properly manufacture the appropriate volume of product, we may experience delays in development, regulatory approval, launch or successful commercialization.*</w:t>
      </w:r>
    </w:p>
    <w:p>
      <w:pPr>
        <w:spacing w:after="0" w:line="1" w:lineRule="exact"/>
        <w:rPr>
          <w:rFonts w:ascii="Arial" w:cs="Arial" w:eastAsia="Arial" w:hAnsi="Arial"/>
          <w:sz w:val="18"/>
          <w:szCs w:val="18"/>
          <w:color w:val="auto"/>
        </w:rPr>
      </w:pPr>
    </w:p>
    <w:p>
      <w:pPr>
        <w:ind w:left="1020" w:right="260" w:hanging="503"/>
        <w:spacing w:after="0" w:line="248"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spacing w:after="0" w:line="1" w:lineRule="exact"/>
        <w:rPr>
          <w:rFonts w:ascii="Arial" w:cs="Arial" w:eastAsia="Arial" w:hAnsi="Arial"/>
          <w:sz w:val="17"/>
          <w:szCs w:val="17"/>
          <w:color w:val="auto"/>
        </w:rPr>
      </w:pPr>
    </w:p>
    <w:p>
      <w:pPr>
        <w:ind w:left="1020" w:right="240" w:hanging="503"/>
        <w:spacing w:after="0" w:line="23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Even if we are able to obtain regulatory approval of our product candidates, the label we obtain may limit the indicated uses for which our product candidates may be marketed.</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face substantial competition in the discovery, development and commercialization of product candidates.*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left="1020" w:hanging="503"/>
        <w:spacing w:after="0" w:line="244"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product candidates may not achieve adequate market acceptance among physicians, patients, healthcare payors, and others in the medical community necessary for commercial success.</w:t>
      </w:r>
    </w:p>
    <w:p>
      <w:pPr>
        <w:ind w:left="1020" w:right="420" w:hanging="503"/>
        <w:spacing w:after="0" w:line="243"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or limited reimbursement or insurance coverage of our approved products, if any, by third-party payors may render our products less attractive to patients and healthcare providers.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08" w:lineRule="exact"/>
        <w:rPr>
          <w:sz w:val="20"/>
          <w:szCs w:val="20"/>
          <w:color w:val="auto"/>
        </w:rPr>
      </w:pPr>
    </w:p>
    <w:p>
      <w:pPr>
        <w:ind w:left="1020" w:right="260" w:hanging="503"/>
        <w:spacing w:after="0" w:line="244"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our collaborations were terminated or if Astellas or AstraZeneca were to prioritize other initiatives over their collaborations with us, our ability to successfully develop and commercialize our product candidates would suffer.*</w:t>
      </w:r>
    </w:p>
    <w:p>
      <w:pPr>
        <w:ind w:left="1020" w:right="80" w:hanging="503"/>
        <w:spacing w:after="0" w:line="234"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our preclinical and clinical trial contractors do not properly perform their agreed upon obligations, we may not be able to obtain or may be delayed in receiving regulatory approvals for our product candidates.</w:t>
      </w:r>
    </w:p>
    <w:p>
      <w:pPr>
        <w:spacing w:after="0" w:line="1" w:lineRule="exact"/>
        <w:rPr>
          <w:rFonts w:ascii="Arial" w:cs="Arial" w:eastAsia="Arial" w:hAnsi="Arial"/>
          <w:sz w:val="18"/>
          <w:szCs w:val="18"/>
          <w:color w:val="auto"/>
        </w:rPr>
      </w:pPr>
    </w:p>
    <w:p>
      <w:pPr>
        <w:ind w:left="1020" w:right="80" w:hanging="503"/>
        <w:spacing w:after="0" w:line="234"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may experience delays or technical problems associated with technology transfer, scale-up, or validation of our biologics manufacturing.*</w:t>
      </w:r>
    </w:p>
    <w:p>
      <w:pPr>
        <w:spacing w:after="0" w:line="18" w:lineRule="exact"/>
        <w:rPr>
          <w:rFonts w:ascii="Arial" w:cs="Arial" w:eastAsia="Arial" w:hAnsi="Arial"/>
          <w:sz w:val="16"/>
          <w:szCs w:val="16"/>
          <w:color w:val="auto"/>
        </w:rPr>
      </w:pPr>
    </w:p>
    <w:p>
      <w:pPr>
        <w:ind w:left="1020" w:right="360" w:hanging="503"/>
        <w:spacing w:after="0" w:line="243"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our efforts to protect our proprietary technologies are not adequate, we may not be able to compete effectively in our market.</w:t>
      </w:r>
    </w:p>
    <w:p>
      <w:pPr>
        <w:spacing w:after="0" w:line="1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Intellectual property disputes may be costly, time consuming, and may negatively affect our competitive position.*</w:t>
      </w:r>
    </w:p>
    <w:p>
      <w:pPr>
        <w:ind w:left="1020" w:right="80" w:hanging="503"/>
        <w:spacing w:after="0" w:line="234"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1" w:lineRule="exact"/>
        <w:rPr>
          <w:rFonts w:ascii="Arial" w:cs="Arial" w:eastAsia="Arial" w:hAnsi="Arial"/>
          <w:sz w:val="18"/>
          <w:szCs w:val="18"/>
          <w:color w:val="auto"/>
        </w:rPr>
      </w:pPr>
    </w:p>
    <w:p>
      <w:pPr>
        <w:ind w:left="1020" w:right="600" w:hanging="503"/>
        <w:spacing w:after="0" w:line="234"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1" w:lineRule="exact"/>
        <w:rPr>
          <w:rFonts w:ascii="Arial" w:cs="Arial" w:eastAsia="Arial" w:hAnsi="Arial"/>
          <w:sz w:val="18"/>
          <w:szCs w:val="18"/>
          <w:color w:val="auto"/>
        </w:rPr>
      </w:pPr>
    </w:p>
    <w:p>
      <w:pPr>
        <w:ind w:left="1020" w:right="380" w:hanging="503"/>
        <w:spacing w:after="0" w:line="234"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Intellectual property rights do not address all potential threats to any competitive advantage we may have.</w:t>
      </w:r>
    </w:p>
    <w:p>
      <w:pPr>
        <w:ind w:left="1020" w:right="520" w:hanging="503"/>
        <w:spacing w:after="0" w:line="243"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existence of counterfeit pharmaceutical products in pharmaceutical markets may compromise our brand and reputation and have a material adverse effect on our business, operations and prospects.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08"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regulatory approval process is highly uncertain and we may not obtain regulatory approval for our product candidates.</w:t>
      </w:r>
    </w:p>
    <w:p>
      <w:pPr>
        <w:spacing w:after="0" w:line="11" w:lineRule="exact"/>
        <w:rPr>
          <w:rFonts w:ascii="Arial" w:cs="Arial" w:eastAsia="Arial" w:hAnsi="Arial"/>
          <w:sz w:val="18"/>
          <w:szCs w:val="18"/>
          <w:color w:val="auto"/>
        </w:rPr>
      </w:pPr>
    </w:p>
    <w:p>
      <w:pPr>
        <w:jc w:val="both"/>
        <w:ind w:left="1020" w:right="180" w:hanging="503"/>
        <w:spacing w:after="0" w:line="234"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current and future relationships with customers, physicians, and third-party payors are subject to healthcare fraud and abuse laws, false claims laws, transparency laws, privacy and security laws, and other regulations. If we are unable to comply with such laws, we could face substantial penalties.</w:t>
      </w:r>
    </w:p>
    <w:p>
      <w:pPr>
        <w:spacing w:after="0" w:line="2"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are subject to laws and regulations governing corruption, which require us to maintain costly compliance programs.</w:t>
      </w:r>
    </w:p>
    <w:p>
      <w:pPr>
        <w:ind w:left="1020" w:hanging="503"/>
        <w:spacing w:after="0" w:line="234"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fail to maintain an effective system of internal control, it may result in material misstatements in our financial statements.*</w:t>
      </w:r>
    </w:p>
    <w:p>
      <w:pPr>
        <w:ind w:left="1020" w:hanging="503"/>
        <w:spacing w:after="0" w:line="234"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U.S. healthcare reform may adversely affect our business model.</w:t>
      </w:r>
    </w:p>
    <w:p>
      <w:pPr>
        <w:ind w:left="1020" w:right="420" w:hanging="503"/>
        <w:spacing w:after="0" w:line="234"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Roxadustat is considered a Class 2 substance on the 2019 World Anti-Doping Agency Prohibited List that could limit sales and increase security and distribution costs for our partners and us.</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employees may engage in misconduct or improper activities, which could result in significant liability or harm our reputation.</w:t>
      </w: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fail to comply with environmental, health or safety laws and regulations, we could incur fines, penalties or other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08" w:lineRule="exact"/>
        <w:rPr>
          <w:sz w:val="20"/>
          <w:szCs w:val="20"/>
          <w:color w:val="auto"/>
        </w:rPr>
      </w:pPr>
    </w:p>
    <w:p>
      <w:pPr>
        <w:ind w:left="1020" w:right="20" w:hanging="503"/>
        <w:spacing w:after="0" w:line="244"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established operations in China and are seeking approval to commercialize our product candidates outside of the U.S., and a number of risks associated with international operations could materially and adversely affect our business.*</w:t>
      </w:r>
    </w:p>
    <w:p>
      <w:pPr>
        <w:ind w:left="1020" w:hanging="503"/>
        <w:spacing w:after="0" w:line="234"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pharmaceutical industry in China is highly regulated and such regulations are subject to change.</w:t>
      </w:r>
    </w:p>
    <w:p>
      <w:pPr>
        <w:ind w:left="1020" w:right="180" w:hanging="503"/>
        <w:spacing w:after="0" w:line="239"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China-operations portion of our audit is conducted by an independent registered public accounting firm that is not subject to inspection by the Public Company Accounting Oversight Board, which may negatively impact investor sentiment towards FibroGen or our China operations, which could adversely affect the market price of our common stock.</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U.S. and China relations, as well as with other countries, and/or regulations may adversely impact our business.</w:t>
      </w:r>
    </w:p>
    <w:p>
      <w:pPr>
        <w:spacing w:after="0" w:line="11" w:lineRule="exact"/>
        <w:rPr>
          <w:rFonts w:ascii="Arial" w:cs="Arial" w:eastAsia="Arial" w:hAnsi="Arial"/>
          <w:sz w:val="18"/>
          <w:szCs w:val="18"/>
          <w:color w:val="auto"/>
        </w:rPr>
      </w:pPr>
    </w:p>
    <w:p>
      <w:pPr>
        <w:ind w:left="1020" w:right="460" w:hanging="503"/>
        <w:spacing w:after="0" w:line="234"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w:t>
      </w:r>
    </w:p>
    <w:p>
      <w:pPr>
        <w:spacing w:after="0" w:line="2" w:lineRule="exact"/>
        <w:rPr>
          <w:rFonts w:ascii="Arial" w:cs="Arial" w:eastAsia="Arial" w:hAnsi="Arial"/>
          <w:sz w:val="18"/>
          <w:szCs w:val="18"/>
          <w:color w:val="auto"/>
        </w:rPr>
      </w:pPr>
    </w:p>
    <w:p>
      <w:pPr>
        <w:ind w:left="1020" w:right="620" w:hanging="503"/>
        <w:spacing w:after="0" w:line="234"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collaboration partner in China, AstraZeneca, and we may experience difficulties in successfully growing and sustaining sales of roxadustat in China.</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retail prices of any product candidates that we develop may be subject to pricing control in China and elsewhere.</w:t>
      </w:r>
    </w:p>
    <w:p>
      <w:pPr>
        <w:ind w:left="1020" w:right="340" w:hanging="503"/>
        <w:spacing w:after="0" w:line="234"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FibroGen Beijing would be subject to restrictions on paying dividends or making other payments to us, which may restrict our ability to satisfy our liquidity requirements.</w:t>
      </w:r>
    </w:p>
    <w:p>
      <w:pPr>
        <w:spacing w:after="0" w:line="1" w:lineRule="exact"/>
        <w:rPr>
          <w:rFonts w:ascii="Arial" w:cs="Arial" w:eastAsia="Arial" w:hAnsi="Arial"/>
          <w:sz w:val="18"/>
          <w:szCs w:val="18"/>
          <w:color w:val="auto"/>
        </w:rPr>
      </w:pPr>
    </w:p>
    <w:p>
      <w:pPr>
        <w:ind w:left="1020" w:right="120" w:hanging="503"/>
        <w:spacing w:after="0" w:line="234"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1" w:lineRule="exact"/>
        <w:rPr>
          <w:rFonts w:ascii="Arial" w:cs="Arial" w:eastAsia="Arial" w:hAnsi="Arial"/>
          <w:sz w:val="18"/>
          <w:szCs w:val="18"/>
          <w:color w:val="auto"/>
        </w:rPr>
      </w:pPr>
    </w:p>
    <w:p>
      <w:pPr>
        <w:ind w:left="1020" w:right="60" w:hanging="503"/>
        <w:spacing w:after="0" w:line="234"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subject to currency exchange rate fluctuations and currency exchange restrictions with respect to our operations in China, which could adversely affect our financial performance.</w:t>
      </w:r>
    </w:p>
    <w:p>
      <w:pPr>
        <w:spacing w:after="0" w:line="1" w:lineRule="exact"/>
        <w:rPr>
          <w:rFonts w:ascii="Arial" w:cs="Arial" w:eastAsia="Arial" w:hAnsi="Arial"/>
          <w:sz w:val="18"/>
          <w:szCs w:val="18"/>
          <w:color w:val="auto"/>
        </w:rPr>
      </w:pPr>
    </w:p>
    <w:p>
      <w:pPr>
        <w:ind w:left="1020" w:right="540" w:hanging="503"/>
        <w:spacing w:after="0" w:line="234"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Because FibroGen Beijing’s funds are held in banks that do not provide insurance, the failure of any bank in which FibroGen Beijing deposits its funds could adversely affect our business.</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subject to tax inefficiencies associated with our offshore corporate structure.</w:t>
      </w:r>
    </w:p>
    <w:p>
      <w:pPr>
        <w:ind w:left="1020" w:hanging="503"/>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foreign operations, particularly those in China, are subject to significant risks involving the protection of intellectual property.</w:t>
      </w:r>
    </w:p>
    <w:p>
      <w:pPr>
        <w:spacing w:after="0" w:line="7" w:lineRule="exact"/>
        <w:rPr>
          <w:rFonts w:ascii="Arial" w:cs="Arial" w:eastAsia="Arial" w:hAnsi="Arial"/>
          <w:sz w:val="17"/>
          <w:szCs w:val="17"/>
          <w:color w:val="auto"/>
        </w:rPr>
      </w:pPr>
    </w:p>
    <w:p>
      <w:pPr>
        <w:ind w:left="1020" w:hanging="503"/>
        <w:spacing w:after="0" w:line="234"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Uncertainties with respect to the China legal system and regulations could have a material adverse effect on us.</w:t>
      </w:r>
    </w:p>
    <w:p>
      <w:pPr>
        <w:ind w:left="1020" w:hanging="503"/>
        <w:spacing w:after="0" w:line="234"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China’s economic, governmental, or social conditions could have a material adverse effect on our business.</w:t>
      </w:r>
    </w:p>
    <w:p>
      <w:pPr>
        <w:ind w:left="1020" w:hanging="503"/>
        <w:spacing w:after="0" w:line="234"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subject to additional Chinese requirements, approvals or permissions in the future.</w:t>
      </w:r>
    </w:p>
    <w:p>
      <w:pPr>
        <w:ind w:left="1020" w:right="460" w:hanging="503"/>
        <w:spacing w:after="0" w:line="234"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Chinese government determines that our corporate structure does not comply with Chinese regulations, or if Chinese regulations change or are interpreted differently in the future, the value of our common stock may decline.</w:t>
      </w:r>
    </w:p>
    <w:p>
      <w:pPr>
        <w:spacing w:after="0" w:line="1" w:lineRule="exact"/>
        <w:rPr>
          <w:rFonts w:ascii="Arial" w:cs="Arial" w:eastAsia="Arial" w:hAnsi="Arial"/>
          <w:sz w:val="18"/>
          <w:szCs w:val="18"/>
          <w:color w:val="auto"/>
        </w:rPr>
      </w:pPr>
    </w:p>
    <w:p>
      <w:pPr>
        <w:ind w:left="1020" w:right="580" w:hanging="503"/>
        <w:spacing w:after="0" w:line="243"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08"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business could continue to be adversely affected by the ongoing COVID-19 global pandemic.*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Conflict in Ukraine</w:t>
      </w:r>
    </w:p>
    <w:p>
      <w:pPr>
        <w:spacing w:after="0" w:line="108"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business could continue to be adversely affected by the ongoing war in Ukraine and the global response to it.*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08"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Please see below for additional risk factors related to the operation of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Please see below for additional risk factors related to our Common Stock.</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substantially dependent on the success of our lead products pamrevlumab and roxadustat.*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To date, we have invested a substantial portion of our efforts and financial resources in the research and development of pamrevlumab and roxadustat.</w:t>
      </w:r>
    </w:p>
    <w:p>
      <w:pPr>
        <w:spacing w:after="0" w:line="235"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Our near-term success depends in large part on pamrevlumab, which is in clinical development for idiopathic pulmonary fibrosis (“IPF”), locally advanced unresectable pancreatic cancer ("LAPC"), metastatic pancreatic cancer, and Duchenne muscular dystrophy (“DMD”). Pamrevlumab requires substantial further development and investment and, at this time, we do not have a collaboration partner to support this compound. In addition, pamrevlumab is a monoclonal antibody, which may require greater financial resources than for our small molecule, roxadustat.</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Our near-term prospects also depend in large part on our continued development and commercialization of roxadustat in the People's Republic of China ("China"), Japan, the United States ("U.S."), and elsewhere. Roxadustat has received approval in the European Union, Great Britain, China, Japan, and other countries for chronic kidney disease ("CKD") anemia for patients on dialysis and not on dialysis. However, roxadustat received a complete response letter ("CRL") in the U.S. from the Food and Drug Administration ("FDA"). While we continue to co-commercialize roxadustat in China with AstraZeneca AB ("AstraZeneca"), and develop roxadustat in the U.S. for the treatment of anemia in patients with myelodysplastic syndromes (“MDS”), we have not been able to agree on a path forward for AstraZeneca to fund further roxadustat development in the U.S. for CKD anemia and there is a significant risk we will be unable to do so. There is also a significant risk that the U.S./RoW Agreement will be amended or terminated.</w:t>
      </w:r>
    </w:p>
    <w:p>
      <w:pPr>
        <w:spacing w:after="0" w:line="163"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With an eye toward the longer-term success of the Company, we are investing in new drug programs to expand our early-stage clinical pipeline. While we see great potential value in our early-stage pipeline, these programs are years away from commercialization, and the success of any development program is not guaranteed. Our near-term prospects and the price of our common stock most heavily rely on the success of our lead products pamrevlumab and roxadustat.</w:t>
      </w:r>
    </w:p>
    <w:p>
      <w:pPr>
        <w:spacing w:after="0" w:line="29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As a company, we have limited commercialization experience, and the time and resources required to develop such experience are significant. If we fail to achieve and sustain commercial success for any of our products, our business would be harmed.</w:t>
      </w:r>
    </w:p>
    <w:p>
      <w:pPr>
        <w:spacing w:after="0" w:line="6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do not have a sales infrastructure and we have limited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47" w:lineRule="exact"/>
        <w:rPr>
          <w:sz w:val="20"/>
          <w:szCs w:val="20"/>
          <w:color w:val="auto"/>
        </w:rPr>
      </w:pPr>
    </w:p>
    <w:p>
      <w:pPr>
        <w:ind w:right="640"/>
        <w:spacing w:after="0" w:line="291" w:lineRule="auto"/>
        <w:rPr>
          <w:sz w:val="20"/>
          <w:szCs w:val="20"/>
          <w:color w:val="auto"/>
        </w:rPr>
      </w:pPr>
      <w:r>
        <w:rPr>
          <w:rFonts w:ascii="Arial" w:cs="Arial" w:eastAsia="Arial" w:hAnsi="Arial"/>
          <w:sz w:val="17"/>
          <w:szCs w:val="17"/>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39"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commercial teams;</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 organization.</w:t>
      </w:r>
    </w:p>
    <w:p>
      <w:pPr>
        <w:spacing w:after="0" w:line="212"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With respect to roxadustat, we are dependent on the commercialization capabilities of our collaboration partners, AstraZeneca and Astellas Pharma Inc. (“Astellas”). If either such partner were to terminate its agreement with us, we would have to commercialize on our own or with another third party. We will have limited control over the commercialization efforts of such third parties, and any of them may fail to devote the necessary resources and attention to sell and market roxadustat effectively. If they are not successful in commercializing roxadustat, our business and financial condition would suffer.</w:t>
      </w:r>
    </w:p>
    <w:p>
      <w:pPr>
        <w:spacing w:after="0" w:line="155"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Successful commercialization of any of our products requires us to establish capabilities, including but not limited to, medical affairs, marketing, product reimbursement, sales, price reporting, pharmacovigilance, supply-chain, distribution, and other capabilities. These efforts require resources and time to either develop or acquire.</w:t>
      </w:r>
    </w:p>
    <w:p>
      <w:pPr>
        <w:spacing w:after="0" w:line="182"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If we, along with any partners we may have, are not successful in our marketing, pricing and reimbursement strategies, facilitating adoption by health care facilities and professionals, recruiting sales and marketing personnel or in building a sales and marketing infrastructure, or if the market perception of our product's safety and efficacy profile is negative, we will have difficulty successfully commercializing such product, which would adversely affect our business and financial condition.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Drug development and obtaining marketing authorization is a very difficult endeavor and we may ultimately be unable to obtain regulatory approval for our various product candidates in one or more jurisdictions and in one or more indications.</w:t>
      </w:r>
    </w:p>
    <w:p>
      <w:pPr>
        <w:spacing w:after="0" w:line="63"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development, manufacturing, marketing, and selling of our products and product candidates are and will continue to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drug development and approval process is expensive and requires substantial resources and time, and in general, very few product candidates that enter development ultimately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any of our other product candidates in one or more indications and jurisdictions.</w:t>
      </w:r>
    </w:p>
    <w:p>
      <w:pPr>
        <w:spacing w:after="0" w:line="184"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Moreover, for any clinical trial to support a New Drug Application (“NDA”)/Biologics License Application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clinical research organizations(“CROs”), trial sites, principal investigators or other third parties fail to comply with applicable GCP requirements, the clinical data generated in our clinical trials may be deemed unreliable. Accordingly, the FDA or other regulatory authorities may require us to exclude the use of patient data from these unreliable clinical trials, or perform additional clinical trials before approving our marketing applications. The FDA or other regulatory authorities may even reject our application for approval, or refuse to accept our future applications.</w:t>
      </w:r>
    </w:p>
    <w:p>
      <w:pPr>
        <w:spacing w:after="0" w:line="18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Regulatory authorities may take actions or impose requirements that delay, limit or deny approval of our product candidates for many reasons, including, among others:</w:t>
      </w:r>
    </w:p>
    <w:p>
      <w:pPr>
        <w:spacing w:after="0" w:line="63" w:lineRule="exact"/>
        <w:rPr>
          <w:sz w:val="20"/>
          <w:szCs w:val="20"/>
          <w:color w:val="auto"/>
        </w:rPr>
      </w:pPr>
    </w:p>
    <w:p>
      <w:pPr>
        <w:ind w:left="1020" w:right="120" w:hanging="503"/>
        <w:spacing w:after="0" w:line="324"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failure to adequately demonstrate to the satisfaction of regulatory authorities or an independent advisory committee that our product candidate is safe and effective in a particular indication, or that such product candidate’s clinical and other benefits outweigh its safety risks;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failure of clinical trials to meet the level of statistical significance required for approval;</w:t>
      </w:r>
    </w:p>
    <w:p>
      <w:pPr>
        <w:spacing w:after="0" w:line="10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determination by regulatory authorities that additional clinical trials are necessary to demonstrate the safety and efficacy of a product candidate,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product candidates may exhibit an unacceptable safety signal at any stage of development;</w:t>
      </w:r>
    </w:p>
    <w:p>
      <w:pPr>
        <w:spacing w:after="0" w:line="103" w:lineRule="exact"/>
        <w:rPr>
          <w:rFonts w:ascii="Arial" w:cs="Arial" w:eastAsia="Arial" w:hAnsi="Arial"/>
          <w:sz w:val="18"/>
          <w:szCs w:val="18"/>
          <w:color w:val="auto"/>
        </w:rPr>
      </w:pPr>
    </w:p>
    <w:p>
      <w:pPr>
        <w:ind w:left="1020" w:right="400" w:hanging="503"/>
        <w:spacing w:after="0" w:line="291"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CROs or investigators that conduct clinical trials on our behalf may take actions outside of our control that do not comply with GCP, clinical trial protocols, or their agreement with us, or otherwise materially adversely impact our clinical trials;</w:t>
      </w:r>
    </w:p>
    <w:p>
      <w:pPr>
        <w:spacing w:after="0" w:line="38"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disagreement over whether to accept results from clinical trial sites in a country where the standard of care is potentially different from that in the U.S.;</w:t>
      </w:r>
    </w:p>
    <w:p>
      <w:pPr>
        <w:spacing w:after="0" w:line="62" w:lineRule="exact"/>
        <w:rPr>
          <w:rFonts w:ascii="Arial" w:cs="Arial" w:eastAsia="Arial" w:hAnsi="Arial"/>
          <w:sz w:val="18"/>
          <w:szCs w:val="18"/>
          <w:color w:val="auto"/>
        </w:rPr>
      </w:pPr>
    </w:p>
    <w:p>
      <w:pPr>
        <w:ind w:left="1020" w:right="50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or third-party contractors manufacturing our product candidates may not maintain current good manufacturing practices (“cGMP”), successfully pass inspection or meet other applicable manufacturing regulatory requirements;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w:t>
      </w:r>
    </w:p>
    <w:p>
      <w:pPr>
        <w:spacing w:after="0" w:line="21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our product candidates in one or more indications.</w:t>
      </w:r>
    </w:p>
    <w:p>
      <w:pPr>
        <w:spacing w:after="0" w:line="17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FDA or other regulatory authorities may require more information (including additional preclinical or clinical data to support approval), which may delay or prevent approval or cause us to abandon the development program altogether.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Even if we believe our clinical trials are successful, regulatory authorities may not agree that our completed clinical trials provide adequate data on safety or efficacy. Approval by one regulatory authority does not ensure approval by any other regulatory authority. For example, while we have received approval of our marketing authorization applications for roxadustat in the European Union, Great Britain, China, Japan, and other countries for CKD anemia for patients on dialysis and not on dialysis, we received a CRL in the U.S. from the FDA regarding roxadustat’s NDA for the treatment of anemia due to CKD, stating that it could not be approved in its present form. In addition, a failure or delay in obtaining regulatory approval in one country may have a negative effect on the regulatory process or commercial uptake in other countries.</w:t>
      </w:r>
    </w:p>
    <w:p>
      <w:pPr>
        <w:spacing w:after="0" w:line="175" w:lineRule="exact"/>
        <w:rPr>
          <w:sz w:val="20"/>
          <w:szCs w:val="20"/>
          <w:color w:val="auto"/>
        </w:rPr>
      </w:pPr>
    </w:p>
    <w:p>
      <w:pPr>
        <w:jc w:val="both"/>
        <w:ind w:right="40"/>
        <w:spacing w:after="0" w:line="279" w:lineRule="auto"/>
        <w:rPr>
          <w:sz w:val="20"/>
          <w:szCs w:val="20"/>
          <w:color w:val="auto"/>
        </w:rPr>
      </w:pPr>
      <w:r>
        <w:rPr>
          <w:rFonts w:ascii="Arial" w:cs="Arial" w:eastAsia="Arial" w:hAnsi="Arial"/>
          <w:sz w:val="16"/>
          <w:szCs w:val="16"/>
          <w:color w:val="auto"/>
        </w:rPr>
        <w:t>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Risk Evaluation and Mitigation Strategy (or other regulatory authorities may require the establishment of a similar strategy), that may restrict distribution of our approved products, if any, and impose burdensome implementation requirements on us.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scenarios could materially harm the commercial prospects for our product candidates.</w:t>
      </w:r>
    </w:p>
    <w:p>
      <w:pPr>
        <w:spacing w:after="0" w:line="320"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The CRL we received from the FDA for roxadustat has decreased the likelihood of approval and successful commercialization of roxadustat in the U.S. and potentially other markets. There is a significant risk that our U.S./Rest of World Collaboration Agreement with AstraZeneca will be amended or terminated.*</w:t>
      </w:r>
    </w:p>
    <w:p>
      <w:pPr>
        <w:spacing w:after="0" w:line="74"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color w:val="auto"/>
        </w:rPr>
        <w:t>In August 2021, the FDA issued a CRL regarding roxadustat’s NDA for the treatment of anemia due to CKD in adult patients, stating that it could not be approved in its present form. The CRL has decreased the likelihood of approval and successful commercialization of roxadustat in the U.S. and therefore will decrease and/or delay expected revenue. While we continue to commercialize roxadustat in China with AstraZeneca, and develop roxadustat in the U.S. for the treatment of anemia in patients with MDS, we have not been able to agree on a path forward for AstraZeneca to fund further roxadustat development in the U.S. for CKD anemia and there is a significant risk we will be unable to do so. There is also a significant risk that the U.S./RoW Agreement will be amended or terminated. Any of these risks could have a material impact on our business, operating results, and financial condition.</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Phase 1 and Phase 2 clinical trial results may not be indicative of the results that may be obtained in larger clinical trials.</w:t>
      </w:r>
    </w:p>
    <w:p>
      <w:pPr>
        <w:spacing w:after="0" w:line="115"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w:t>
      </w:r>
    </w:p>
    <w:p>
      <w:pPr>
        <w:spacing w:after="0" w:line="18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after achieving positive results in early-stage development, and we may face similar setbacks.</w:t>
      </w:r>
    </w:p>
    <w:p>
      <w:pPr>
        <w:spacing w:after="0" w:line="27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w:t>
      </w:r>
    </w:p>
    <w:p>
      <w:pPr>
        <w:spacing w:after="0" w:line="104"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 or failure to address any physician or patient safety concerns that arise during the course of the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 or failure to obtain required regulatory or institutional review board approval or guidance;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 or failure to reach timely agreement on acceptable terms with prospective CROs and clinical trial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 or failure to recruit, enroll and retain patients through the completion of the trial;</w:t>
      </w:r>
    </w:p>
    <w:p>
      <w:pPr>
        <w:spacing w:after="0" w:line="10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patient recruitment, enrollment, or retention, or clinical site initiation or retention problems associated with the Severe Acute Respiratory Syndrome Coronavirus 2 and the resulting Coronavirus Disease (“COVID-19”) pandemic;</w:t>
      </w:r>
    </w:p>
    <w:p>
      <w:pPr>
        <w:spacing w:after="0" w:line="62" w:lineRule="exact"/>
        <w:rPr>
          <w:rFonts w:ascii="Arial" w:cs="Arial" w:eastAsia="Arial" w:hAnsi="Arial"/>
          <w:sz w:val="18"/>
          <w:szCs w:val="18"/>
          <w:color w:val="auto"/>
        </w:rPr>
      </w:pPr>
    </w:p>
    <w:p>
      <w:pPr>
        <w:ind w:left="1020" w:right="80" w:hanging="503"/>
        <w:spacing w:after="0" w:line="248"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patient recruitment, enrollment, or retention, clinical site initiation, or retention problems associated with civil unrest or military conflicts around the world, specifically the conflict in Ukraine which could affect our clinical trials enrolling in Ukraine (currently only ZEPHYRUS-2), or other sites or trials if the conflict spreads or has effects on countries outside of Ukraine;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 or failure to maintain clinical sites in compliance with clinical trial protocols;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 or failure to initiate or add a sufficient number of clinical trial sites;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 or failure to manufacture sufficient quantities of product candidate for use in clinical trials.</w:t>
      </w:r>
    </w:p>
    <w:p>
      <w:pPr>
        <w:spacing w:after="0" w:line="21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 particular, 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spacing w:after="0" w:line="74"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ability to enroll patients in clinical trials during the COVID-19 pandemic (particularly for IPF);</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physicians’ and patients’ perceptions of the potential advantages of our product candidates being studied in relation to available therapies or other products under development;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CRO’s and our trial sites’ efforts to facilitate timely enrollment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1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If we have difficulty enrolling a sufficient number of patients to conduct our clinical trials as planned, we may need to delay, limit or terminate on-going or planned clinical trials.</w:t>
      </w:r>
    </w:p>
    <w:p>
      <w:pPr>
        <w:spacing w:after="0" w:line="17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we could encounter delays if a clinical trial is suspended or terminated by us, by the relevant institutional review boards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spacing w:after="0" w:line="30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spacing w:after="0" w:line="66"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clinical trial development plan becoming longer and more expensive;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terminating some of our clinical trials for the product candidates or specific indications affected;</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left="1020" w:hanging="503"/>
        <w:spacing w:after="0"/>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regulatory authorities increasing the data and information required to approve our product candidates and imposing other requirements;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1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The occurrence of any or all of these events may cause the development of our product candidates to be delayed or terminated, which could materially and adversely affect our business and prospects. Refer to “</w:t>
      </w:r>
      <w:r>
        <w:rPr>
          <w:rFonts w:ascii="Arial" w:cs="Arial" w:eastAsia="Arial" w:hAnsi="Arial"/>
          <w:sz w:val="18"/>
          <w:szCs w:val="18"/>
          <w:i w:val="1"/>
          <w:iCs w:val="1"/>
          <w:color w:val="auto"/>
        </w:rPr>
        <w:t>Business Overview</w:t>
      </w:r>
      <w:r>
        <w:rPr>
          <w:rFonts w:ascii="Arial" w:cs="Arial" w:eastAsia="Arial" w:hAnsi="Arial"/>
          <w:sz w:val="18"/>
          <w:szCs w:val="18"/>
          <w:color w:val="auto"/>
        </w:rPr>
        <w:t>” in this Quarterly Report for a discussion of the adverse events and serious adverse events that have emerged in clinical trials of roxadustat and pamrevlumab.</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There have been other products, including erythropoiesis stimulating agents (“ESAs”), for which safety concerns have been uncovered following approval by regulatory authorities. Such safety concerns have led to labeling changes or withdrawal of ESAs products from the market. While our most advanced product candidate is chemically unique from ESAs, it or any of our product candidates may be subject to known or unknown risks.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8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If our manufacturers or we cannot properly manufacture the appropriate volume of product, we may experience delays in development, regulatory approval, launch or successful commercialization.*</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Completion of our clinical trials and commercialization of our products require access to, or development of, facilities to manufacture and manage our product candidates at sufficient yields, quality and at commercial scale. Although we have entered into commercial supply agreements for roxadustat and pamrevlumab, we will need to enter into additional commercial supply agreements, including for backup or second source third-party manufacturers. We may not be able to enter into these agreements with satisfactory terms or on a timely manner. In addition, we may experience delays or technical problems associated with technology transfer of manufacturing processes to any new suppliers.</w:t>
      </w:r>
    </w:p>
    <w:p>
      <w:pPr>
        <w:spacing w:after="0" w:line="174"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We have relatively limited experience manufacturing or managing third parties in manufacturing any of our product candidates in the volumes that are expected to be necessary to support large-scale clinical trials and sales. In addition, we have limited experience forecasting supply requirements or coordinating supply chain (including export and customs management) for launch or commercialization, which is a complex process involving our third-party manufacturers and logistics providers, and for roxadustat, our collaboration partners. We may not be able to accurately forecast supplies for commercial launch or do so in a timely manner and our efforts to establish these manufacturing and supply chain management capabilities may not meet our requirements as to quantities, scale-up, yield, cost, potency or quality in compliance with cGMP, particularly if the marketing authorization or market uptake is more rapid than anticipated or we have an unanticipated surge in demand.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have a limited amount of roxadustat and pamrevlumab in storage, limited capacity reserved at our third-party manufacturers, and, even if we have or are able to put sufficient supply agreements in place for our development and commercialization plan, there are long lead times required to manufacture and scale-up the manufacture of additional supply, as well as for raw materials and components for manufacture of our products, as required for both late-stage clinical trials, post-approval trials, and commercial supply. There is a general risk of delayed drug supply due to delays experienced by any third-party provider in the supply chain, including raw material and components suppliers, export and customs locations, and shipping companies. In addition, if we are not able to obtain regulatory approval of roxadustat in the U.S. in CKD anemia, we may have excess supply manufactured in anticipation of commercialization. Such roxadustat excess supply could be wasted, for example, if it expires prior to being used in other clinical trials or prior to being used in other territories where such roxadustat formulation is approved. If we are unable to forecast, order or manufacture sufficient quantities of roxadustat or pamrevlumab on a timely basis, it may delay our development, launch or commercialization in some or all indications we are currently pursuing. Insufficient supply could be a particular risk if we were to obtain regulatory approval of pamrevlumab in all indications being studied (IPF, LAPC, metastatic pancreatic cancer, and DMD). Any delay or interruption in the supply of our product candidates or products could have a material adverse effect on our business and operations.</w:t>
      </w:r>
    </w:p>
    <w:p>
      <w:pPr>
        <w:spacing w:after="0" w:line="183"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Our commercial drug product and the product we use for clinical trials must be produced under applicable cGMP regulations. Failure to comply with these regulations by us or our third-party manufacturers may require us to recall commercial product or repeat clinical trials, which would impact sales revenue and/or delay the regulatory approval process.</w:t>
      </w:r>
    </w:p>
    <w:p>
      <w:pPr>
        <w:spacing w:after="0" w:line="182"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We may add or change manufacturers for our products. We, our partners, or regulatory authorities may also request or make changes to our manufacturing processes or to our product or packaging specifications, including in order to accommodate changes in regulations, manufacturing equipment or to account for different processes at new or second source suppliers. If any such changes are made with respect to roxadustat or pamrevlumab we may need to demonstrate comparability to the products and processes already approved or in approval by various regulatory authorities, including potentially through the conduct of additional clinical trials. Even if we do demonstrate comparability, a regulatory agency could challenge that result which could delay our development or commercialization progress. Any such changes could also lead to product having an earlier expiration date, shorter shelf life, or failing to meet specifications. Any of these occurrences may materially impact our operations and potential profitability.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We, and even an experienced third-party manufacturer, may encounter difficulties in production. Difficulties may include:</w:t>
      </w:r>
    </w:p>
    <w:p>
      <w:pPr>
        <w:spacing w:after="0" w:line="104" w:lineRule="exact"/>
        <w:rPr>
          <w:sz w:val="20"/>
          <w:szCs w:val="20"/>
          <w:color w:val="auto"/>
        </w:rPr>
      </w:pPr>
    </w:p>
    <w:p>
      <w:pPr>
        <w:ind w:left="1020" w:right="600" w:hanging="503"/>
        <w:spacing w:after="0" w:line="26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pamrevlumab, which is a monoclonal antibody;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contracting with additional suppliers and validation/qualification of additional facilities to meet growing demand;</w:t>
      </w:r>
    </w:p>
    <w:p>
      <w:pPr>
        <w:spacing w:after="0" w:line="103"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supply chain issues, including coordination of multiple contractors in our supply chain and securing necessary licenses (such as export licenses);</w:t>
      </w:r>
    </w:p>
    <w:p>
      <w:pPr>
        <w:spacing w:after="0" w:line="62" w:lineRule="exact"/>
        <w:rPr>
          <w:rFonts w:ascii="Arial" w:cs="Arial" w:eastAsia="Arial" w:hAnsi="Arial"/>
          <w:sz w:val="18"/>
          <w:szCs w:val="18"/>
          <w:color w:val="auto"/>
        </w:rPr>
      </w:pPr>
    </w:p>
    <w:p>
      <w:pPr>
        <w:ind w:left="1020" w:right="600" w:hanging="503"/>
        <w:spacing w:after="0" w:line="26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timely availability and shelf life requirements of raw materials and supplies, including delays in availability due to the COVID-19 pandemic;</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limited stability and product shelf life;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equipment maintenance issues or failure;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quality control and quality assurance issues;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capacity or forecasting limitations and scheduling availability in contracted facilities;</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natural disasters, such as pandemics, including the COVID-19 pandemic, floods, storms, earthquakes, tsunamis, and droughts, or accidents such as fire, that affect facilities, possibly limit or postpone production, and increase costs;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to obtain license to proprietary starting materials.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Even if we believe we have achieved positive clinical results, such as superiority or non-inferiority, in certain endpoints, populations or sub-populations, or using certain statistical methods of analysis, the FDA and European Medicines Agency (“EMA”) will each conduct their own benefit-risk analysis and may reach different conclusions, using different statistical methods, different endpoints or definitions thereof, or different patient populations or sub-populations. Furthermore, while we may seek regulatory advice or agreement in key commercial markets prior to and after application for marketing authorization, regulatory authorities may change their approvability criteria based on the data, their internal analyses and external factors, including discussions with expert advisors. For example, while we have received approval of our marketing authorization applications for roxadustat in the European Union, Great Britain, China, Japan, and other countries for CKD anemia for patients on dialysis and not on dialysis, we received a CRL in the U.S. from the FDA. Regulatory authorities may approve one of our product candidates for fewer or more limited indications than we request or may grant approval contingent on the performance of costly post-approval clinical trials. While we have and will present to regulatory authorities certain pre-specified and post hoc (not pre-specified) sub-populations, sub-group, and sensitivity analyses (for example, incident dialysis), multiple secondary endpoints, and multiple sets of stratification factors and analytical methods (such as long-term follow up analyses), including adjusted and censored data, regulatory authorities may reject these analyses, methods, or even parts of our trial design or certain data from our studies, the rationale for our pre-specified non-inferiority margins or other portions of our statistical analysis plans. In addition, even if we are able to provide positive data with respect to certain analyses, regulatory authorities may not include such claims on any approved labeling. The failure to obtain regulatory approval, or any label, population or other approval limitations in any jurisdiction, may significantly limit or delay our ability to generate revenues, and any failure to obtain such approval for all of the indications and labeling claims we deem desirable could reduce our potential revenue.</w:t>
      </w:r>
    </w:p>
    <w:p>
      <w:pPr>
        <w:spacing w:after="0" w:line="27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6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With respect to roxadustat, regulatory approvals obtained, could limit the approved indicated uses for which roxadustat may be marketed. For example, our label approved in Japan, includes the following warning: “Serious thromboembolism such as cerebral infarction, myocardial infarction, and pulmonary embolism may occur, possibly resulting in death, during treatment with roxadustat.” Additionally, in the U.S., ESAs have been subject to significant safety warnings, including the boxed warnings on their labels. The safety concerns relating to ESAs may result in labeling for roxadustat containing similar warnings. Any label for roxadustat may contain other warnings or limit the market opportunity or approved indications for roxadustat. These warnings could include warnings against exceeding specified hemoglobin targets and other warnings that derive from the safety issues associated with ESAs, even if our Phase 3 clinical trials do not themselves raise safety concerns.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in the discovery, development and commercialization of product candidates.*</w:t>
      </w:r>
    </w:p>
    <w:p>
      <w:pPr>
        <w:spacing w:after="0" w:line="10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89"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Where roxadustat is approved and launched commercially, competing drugs are expected to include ESAs, particularly in those patient segments where ESAs are used. Currently available ESAs include epoetin alfa (EPOGEN</w:t>
      </w:r>
      <w:r>
        <w:rPr>
          <w:rFonts w:ascii="Arial" w:cs="Arial" w:eastAsia="Arial" w:hAnsi="Arial"/>
          <w:sz w:val="24"/>
          <w:szCs w:val="24"/>
          <w:color w:val="auto"/>
          <w:vertAlign w:val="superscript"/>
        </w:rPr>
        <w:t>®</w:t>
      </w:r>
      <w:r>
        <w:rPr>
          <w:rFonts w:ascii="Arial" w:cs="Arial" w:eastAsia="Arial" w:hAnsi="Arial"/>
          <w:sz w:val="18"/>
          <w:szCs w:val="18"/>
          <w:color w:val="auto"/>
        </w:rPr>
        <w:t>, marketed by Amgen Inc. in the U.S., Procrit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Erypo</w:t>
      </w:r>
      <w:r>
        <w:rPr>
          <w:rFonts w:ascii="Arial" w:cs="Arial" w:eastAsia="Arial" w:hAnsi="Arial"/>
          <w:sz w:val="24"/>
          <w:szCs w:val="24"/>
          <w:color w:val="auto"/>
          <w:vertAlign w:val="superscript"/>
        </w:rPr>
        <w:t>®</w:t>
      </w:r>
      <w:r>
        <w:rPr>
          <w:rFonts w:ascii="Arial" w:cs="Arial" w:eastAsia="Arial" w:hAnsi="Arial"/>
          <w:sz w:val="18"/>
          <w:szCs w:val="18"/>
          <w:color w:val="auto"/>
        </w:rPr>
        <w:t>/Eprex</w:t>
      </w:r>
      <w:r>
        <w:rPr>
          <w:rFonts w:ascii="Arial" w:cs="Arial" w:eastAsia="Arial" w:hAnsi="Arial"/>
          <w:sz w:val="24"/>
          <w:szCs w:val="24"/>
          <w:color w:val="auto"/>
          <w:vertAlign w:val="superscript"/>
        </w:rPr>
        <w:t>®</w:t>
      </w:r>
      <w:r>
        <w:rPr>
          <w:rFonts w:ascii="Arial" w:cs="Arial" w:eastAsia="Arial" w:hAnsi="Arial"/>
          <w:sz w:val="18"/>
          <w:szCs w:val="18"/>
          <w:color w:val="auto"/>
        </w:rPr>
        <w:t>, marketed by Johnson &amp; Johnson Inc., and Espo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marketed by Kyowa Hakko Kirin in Japan and China), darbepoetin (Amgen/Kyowa Hakko Kirin’s Aranesp</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NESP</w:t>
      </w:r>
      <w:r>
        <w:rPr>
          <w:rFonts w:ascii="Arial" w:cs="Arial" w:eastAsia="Arial" w:hAnsi="Arial"/>
          <w:sz w:val="24"/>
          <w:szCs w:val="24"/>
          <w:color w:val="auto"/>
          <w:vertAlign w:val="superscript"/>
        </w:rPr>
        <w:t>®</w:t>
      </w:r>
      <w:r>
        <w:rPr>
          <w:rFonts w:ascii="Arial" w:cs="Arial" w:eastAsia="Arial" w:hAnsi="Arial"/>
          <w:sz w:val="18"/>
          <w:szCs w:val="18"/>
          <w:color w:val="auto"/>
        </w:rPr>
        <w:t>) and Mircera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marketed by Hoffmann-La Roche (“Roche”) outside of the U.S. and by Vifor Pharma, a Roche licensee, in the U.S. and Puerto Rico, as well as biosimilar versions of these currently marketed ESA products. ESAs have been used in the treatment of anemia in CKD for more than 30 years, serving a significant majority of dialysis CKD patients. While non-dialysis CKD patients who are not under the care of nephrologists, including those with diabetes and hypertension, do not typically receive ESAs and are often left untreated, some non-dialysis patients under nephrology or hematology care may be receiving ESA therapy. It may be difficult to encourage healthcare providers and patients to switch to roxadustat from products with which they have become familiar.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may also face competition from potential new anemia therapies currently on the market or in clinical development, including in those patient segments not adequately addressed by ESAs. Companies that are currently developing hypoxia-inducible factor prolyl hydroxylase (“HIF-PH”) inhibitors for anemia in CKD indications include: GlaxoSmithKline plc (“GSK”), Bayer Corporation (“Bayer”), Akebia Therapeutics, Inc. (“Akebia”), Japan Tobacco, and Zydus Cadila (India) (“Zydus”). Otsuka Pharmaceutical terminated its collaboration agreement with Akebia after Akebia received a CRL from the FDA for vadadustat in March 2022.</w:t>
      </w:r>
    </w:p>
    <w:p>
      <w:pPr>
        <w:spacing w:after="0" w:line="18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GSK has filed an NDA for daprodustat in the U.S., with a Prescription Drug User Fee Act date of February 1, 2023, and in March 2022 announced that the EMA accepted its Marketing Authorization Application for daprodustat.</w:t>
      </w:r>
    </w:p>
    <w:p>
      <w:pPr>
        <w:spacing w:after="0" w:line="17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In Japan, roxadustat faces the following competitive drugs being sold by the following companies for the treatment of anemia of CKD patients on and not on dialysis: vadadustat by Mitsubishi Tanabe Pharmaceutical Corporation, Akebia’s collaboration partner, daprodustat by GSK and its partner Kyowa Hakko Kirin, molidustat by Bayer, and enarodustat by Japan Tobacco (to be sold by Torii Pharmaceuticals Ltd).</w:t>
      </w:r>
    </w:p>
    <w:p>
      <w:pPr>
        <w:spacing w:after="0" w:line="169"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Reblozyl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(luspatercept) was approved by the FDA in April 2020 for the treatment of anemia in adults with MDS with ring sideroblasts or myelodysplastic/myeloproliferative neoplasms with ring sideroblasts and thrombocytosis who need regular red blood cell transfusions and have not responded well to or cannot receive an ESA. It is the first and only erythroid maturation agent approved in the U.S., Europe, and Canada and is part of a global collaboration between Acceleron Pharma, Inc. and Bristol Myers Squibb.</w:t>
      </w:r>
    </w:p>
    <w:p>
      <w:pPr>
        <w:spacing w:after="0" w:line="190" w:lineRule="exact"/>
        <w:rPr>
          <w:sz w:val="20"/>
          <w:szCs w:val="20"/>
          <w:color w:val="auto"/>
        </w:rPr>
      </w:pPr>
    </w:p>
    <w:p>
      <w:pPr>
        <w:jc w:val="both"/>
        <w:ind w:right="80"/>
        <w:spacing w:after="0" w:line="270" w:lineRule="auto"/>
        <w:rPr>
          <w:sz w:val="20"/>
          <w:szCs w:val="20"/>
          <w:color w:val="auto"/>
        </w:rPr>
      </w:pPr>
      <w:r>
        <w:rPr>
          <w:rFonts w:ascii="Arial" w:cs="Arial" w:eastAsia="Arial" w:hAnsi="Arial"/>
          <w:sz w:val="17"/>
          <w:szCs w:val="17"/>
          <w:color w:val="auto"/>
        </w:rPr>
        <w:t>In addition, we will likely face competition from other companies developing biologic therapies for the treatment of other anemia indications that we may also seek to pursue in the future. We may face competition for patient recruitment, enrollment for clinical trials, and potentially in commercial sales. There may also be new therapies for renal-related diseases that could limit the market or level of reimbursement available for roxadustat.</w:t>
      </w:r>
    </w:p>
    <w:p>
      <w:pPr>
        <w:spacing w:after="0" w:line="16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In China, we may face potential competition from other HIF-PH inhibitors. The most advanced among them is Enarodustat which is already approved in Japan and is licensed by Shenzhen Salubris Pharmaceutical Co., Ltd for China from Japan Tobacco. Another in-licensed compound under development is Desidustat from Zydus, a compound that is in Phase 3 trials in India. Several foreign companies with active development programs outside of China including Akebia, Bayer, and GSK have been authorized by the National Medical Products Administration to conduct trials in China. Domestic companies including Jiangsu Hengrui Medicine Co., Ltd., Nicoya Therapeutics (Shanghai) Co. Ltd (licensed from Guandong Sunshine Health Investment Co., Ltd.), 3SBio Inc., and Hangzhou Andao Pharmaceutical Co. have active development programs in China. We will also face competition from generics who could enter the market after expiry of our patents in China, and five or more potential market players have already started bioequivalence studies. ESA is considered the standard of care for treatment of anemia of CKD, and locally manufactured epoetin alfa is offered by 15 local manufacturers including the market leader EPIAO that is marketed by 3SBio Inc.</w:t>
      </w:r>
    </w:p>
    <w:p>
      <w:pPr>
        <w:spacing w:after="0" w:line="189" w:lineRule="exact"/>
        <w:rPr>
          <w:sz w:val="20"/>
          <w:szCs w:val="20"/>
          <w:color w:val="auto"/>
        </w:rPr>
      </w:pPr>
    </w:p>
    <w:p>
      <w:pPr>
        <w:ind w:right="140"/>
        <w:spacing w:after="0" w:line="211" w:lineRule="auto"/>
        <w:rPr>
          <w:sz w:val="20"/>
          <w:szCs w:val="20"/>
          <w:color w:val="auto"/>
        </w:rPr>
      </w:pPr>
      <w:r>
        <w:rPr>
          <w:rFonts w:ascii="Arial" w:cs="Arial" w:eastAsia="Arial" w:hAnsi="Arial"/>
          <w:sz w:val="18"/>
          <w:szCs w:val="18"/>
          <w:color w:val="auto"/>
        </w:rPr>
        <w:t>The first biosimilar ESA, Pfizer’s Retacrit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(epoetin zeta), entered the U.S. market in November 2018. Market penetration of Retacrit and the potential addition of other biosimilar ESAs currently under development may alter the competitive and pricing landscape of anemia therapy in CKD patients on dialysis under the end-stage renal disease bundle. The patents for Amgen’s EPOGEN</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(epoetin alfa) expired in 2004 in Europe, and the final material patents in the U.S. expired in May 2015. Several biosimilar versions of currently marketed ESAs are available for sale in Europe, China and other territories. In the U.S., a few ESA biosimilars are currently under development. Sandoz, a division of Novartis, markets Binocrit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(epoetin alfa) in Europe and may file a biosimilar Biologics License Application in the U.S.</w:t>
      </w:r>
    </w:p>
    <w:p>
      <w:pPr>
        <w:spacing w:after="0" w:line="198"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If approved and launched commercially to treat IPF, pamrevlumab is expected to compete with Roche’s Esbriet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(pirfenidone), and Boehringer Ingelheim Pharma GmbH &amp; Co. KG’s Ofev</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(nintedanib). We believe that if pamrevlumab can be shown to safely stabilize or reverse lung fibrosis, and thus stabilize or improve lung function in IPF patients, it can compete with pirfenidone and nintedanib for market share in IPF. However, it may be difficult to encourage treatment providers and patients to switch to pamrevlumab from an oral product with which they are already familiar to a product delivered via in-office infusion. Furthermore, pirfenidone and nintedanib may be produced as generics in the near future. We may also face competition from potential new IPF therapies in recruitment and enrollment in our clinical trials and potentially in commercialization.</w:t>
      </w:r>
    </w:p>
    <w:p>
      <w:pPr>
        <w:spacing w:after="0" w:line="191"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Pamrevlumab is a monoclonal antibody that may be more expensive and less convenient than oral small molecules such as nintedanib and pirfenidone. Other potential competitive product candidates in various stages of development for IPF include Kadmon Holdings, Inc.’s KD025, Galecto’s GB0139, Liminal BioSciences’ PBI-4050, Pliant Therapeutics’ PLN-74809, Roche/Promedior, Inc.’s PRM-151, and Boehringer Ingelheim’s BI 1015550. Roche is enrolling patients in a Phase 3 trial evaluating the efficacy and safety of PRM-151, a recombinant human pentraxin-2 (rhPTX-2), compared to placebo in patients with IPF. United Therapeutics Corporation is enrolling patients in its Phase 3 trial of treprostinil in IPF. Boehringer Ingelheim plans to initiate a Phase 3 IPF trial of BI 1015550, a phosphodiesterase 4B (PDE4B) inhibitor.</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If pamrevlumab is approved and launched commercially to treat LAPC or metastatic pancreatic cancer, pamrevlumab may face competition from agents seeking approval in combination with gemcitibine and nab-paclitaxel from companies such as Rafael Pharma’s defactinib/CPI-613 and Merrimack Pharmaceuticals Inc.’s istiratumab. Gemcitabine and/or nab-paclitaxel are the current standard of care in the first-line treatment of metastatic pancreatic cancer.</w:t>
      </w:r>
    </w:p>
    <w:p>
      <w:pPr>
        <w:spacing w:after="0" w:line="188"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If approved and launched commercially to treat DMD, pamrevlumab is expected to face competition from drugs that have been approved in major markets such as the U.S., European Union, and Japan. On September 19, 2016, the FDA approved Sarepta Therapeutics Inc.’s (“Sarepta”) Exondys 51</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(eteplirsen). Exondys 51 is approved to treat patients who have a mutation of the dystrophin gene amenable to exon 51 skipping, representing approximately 13% of patients with DMD. In Europe, Sarepta received a negative opinion for its marketing application for eteplirsen from the EMA in September 2018. Sarepta’s Vyondys 53</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(golodirsen) was approved by the FDA in December 2019 for patients with a confirmed genetic mutation that is amenable to exon 53 skipping, which accounts for approximately 8% of the DMD population. Sarepta’s Amondys 45™ (casimersen) was approved by the FDA in February 2021 for patients with a confirmed genetic mutation that is amenable to exon 45 skipping, which accounts for approximately 8% of the DMD population.</w:t>
      </w:r>
    </w:p>
    <w:p>
      <w:pPr>
        <w:spacing w:after="0" w:line="194" w:lineRule="exact"/>
        <w:rPr>
          <w:sz w:val="20"/>
          <w:szCs w:val="20"/>
          <w:color w:val="auto"/>
        </w:rPr>
      </w:pPr>
    </w:p>
    <w:p>
      <w:pPr>
        <w:ind w:right="100"/>
        <w:spacing w:after="0" w:line="211" w:lineRule="auto"/>
        <w:rPr>
          <w:sz w:val="20"/>
          <w:szCs w:val="20"/>
          <w:color w:val="auto"/>
        </w:rPr>
      </w:pPr>
      <w:r>
        <w:rPr>
          <w:rFonts w:ascii="Arial" w:cs="Arial" w:eastAsia="Arial" w:hAnsi="Arial"/>
          <w:sz w:val="18"/>
          <w:szCs w:val="18"/>
          <w:color w:val="auto"/>
        </w:rPr>
        <w:t>PTC Therapeutics’ product Translarna</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received a conditional approval in Europe in 2014, which was renewed in November 2016 with a request for a new randomized placebo-controlled 18-month study by the Committee for Medicinal Products for Human Use of the EMA; however, the FDA informed the sponsor in a CRL in October 2017, as well as in its response to PTC Therapeutics’ appeal, that the FDA is unable to approve the application in its current form. An additional Phase 3 study is currently ongoing. While Translarna </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targets a different set of DMD patients from those targeted by Sarepta’s Exondys 51</w:t>
      </w:r>
      <w:r>
        <w:rPr>
          <w:rFonts w:ascii="Arial" w:cs="Arial" w:eastAsia="Arial" w:hAnsi="Arial"/>
          <w:sz w:val="24"/>
          <w:szCs w:val="24"/>
          <w:color w:val="auto"/>
          <w:vertAlign w:val="superscript"/>
        </w:rPr>
        <w:t>®</w:t>
      </w:r>
      <w:r>
        <w:rPr>
          <w:rFonts w:ascii="Arial" w:cs="Arial" w:eastAsia="Arial" w:hAnsi="Arial"/>
          <w:sz w:val="18"/>
          <w:szCs w:val="18"/>
          <w:color w:val="auto"/>
        </w:rPr>
        <w:t>, it is also limited to a subset of patients who carry a specific mutation. Conversely, pamrevlumab is intended to treat DMD patients without limitation to type of mutation.</w:t>
      </w:r>
    </w:p>
    <w:p>
      <w:pPr>
        <w:spacing w:after="0" w:line="193"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Pamrevlumab may also face competition from other drugs currently in clinical development in patient recruiting and enrollment in clinical trials, and, if approved, in commercialization. Examples of those compounds currently under clinical development are the drug candidates from Pfizer, Pliant, Galecto, and Sarepta.</w:t>
      </w:r>
    </w:p>
    <w:p>
      <w:pPr>
        <w:spacing w:after="0" w:line="18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design, including, in order to compare pamrevlumab against another drug, which may be the new standard of care.</w:t>
      </w:r>
    </w:p>
    <w:p>
      <w:pPr>
        <w:spacing w:after="0" w:line="18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that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scale, research and marketing capabilities than we do and may also have products that have been approved or are in later stages of development and have collaboration agreements in our target markets with leading dialysis companies and research institutions. If our collaboration partners and we are not able to compete effectively against existing and potential competitors, our business and financial condition may be materially and adversely affected.</w:t>
      </w:r>
    </w:p>
    <w:p>
      <w:pPr>
        <w:spacing w:after="0" w:line="288"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3"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Even if our product candidates receive regulatory approval, they may not gain adequate market acceptance among physicians, patients, healthcare payors, and others in the medical community. Demonstrating safety and efficacy of our product candidates and obtaining regulatory approvals will not guarantee future revenue. The degree of market acceptance of any of our approved product candidates will depend on several factors, including:</w:t>
      </w:r>
    </w:p>
    <w:p>
      <w:pPr>
        <w:spacing w:after="0" w:line="39"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efficacy of the product candidate as demonstrated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safety profile and perceptions of safety of our product candidates relative to competitive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healthcare providers and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potential and perceived advantages of the product candidate over alternative treatments, including any similar generic treatments;</w:t>
      </w:r>
    </w:p>
    <w:p>
      <w:pPr>
        <w:spacing w:after="0" w:line="115" w:lineRule="exact"/>
        <w:rPr>
          <w:rFonts w:ascii="Arial" w:cs="Arial" w:eastAsia="Arial" w:hAnsi="Arial"/>
          <w:sz w:val="17"/>
          <w:szCs w:val="17"/>
          <w:color w:val="auto"/>
        </w:rPr>
      </w:pPr>
    </w:p>
    <w:p>
      <w:pPr>
        <w:ind w:left="1020" w:right="160" w:hanging="503"/>
        <w:spacing w:after="0" w:line="261"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inclusion or exclusion of the product candidate from treatment guidelines established by various physician groups and the viewpoints of influential physicians with respect to the product candidate;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the product candidate relative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adequate pricing and reimbursement by third parties and government authorities as described below;</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unfavorable publicity relating to the product candidate.</w:t>
      </w:r>
    </w:p>
    <w:p>
      <w:pPr>
        <w:spacing w:after="0" w:line="21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addition, see the risk factor titled “Our product candidates may cause or have attributed to them undesirable side effects or have other properties that delay or prevent their regulatory approval or limit their commercial potential” above. If any product candidate is approved but does not achieve an adequate level of acceptance by such parties, we may not generate or derive sufficient revenue from that product candidate and may not become or remain profitable.</w:t>
      </w:r>
    </w:p>
    <w:p>
      <w:pPr>
        <w:spacing w:after="0" w:line="25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No or limited reimbursement or insurance coverage of our approved products, if any, by third-party payors may render our products less attractive to patients and healthcare providers.</w:t>
      </w:r>
    </w:p>
    <w:p>
      <w:pPr>
        <w:spacing w:after="0" w:line="6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spacing w:after="0" w:line="80"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covered benefit under applicable health plan;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governments and third-party payors may significantly change in a manner that renders our clinical data insufficient for adequate reimbursement or otherwise limits the successful marketing of our products. Even if we obtain coverage for our product candidates, the pricing may be subject to re-negotiations or third-party payors may not establish adequate reimbursement amounts, which may reduce the demand for, or the price of, our products. For example, our current National Reimbursement Drug List reimbursement pricing for China is effective for a standard two-year period (between January 1, 2022 to December 31, 2023), after which time we will have to renegotiate a new price for roxadustat.</w:t>
      </w:r>
    </w:p>
    <w:p>
      <w:pPr>
        <w:spacing w:after="0" w:line="16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our partner or we may elect not to commercialize our products in such countries, and our business and financial condition could be adversely affected.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0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If our collaborations were terminated or if Astellas or AstraZeneca were to prioritize other initiatives over their collaborations with us, our ability to successfully develop and commercialize our product candidates would suffer.*</w:t>
      </w:r>
    </w:p>
    <w:p>
      <w:pPr>
        <w:spacing w:after="0" w:line="63"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8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In addition, each of those agreements provides our respective partners the right to terminate any of those agreements upon written notice for convenience.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 2021, we received a CRL for roxadustat for the treatment of anemia due to CKD in adult patients in the U.S. While we continue to co-commercialize roxadustat in China with AstraZeneca, and develop roxadustat in the U.S. for the treatment of anemia in patients with MDS, we have not been able to agree on a potential path forward for AstraZeneca to fund further roxadustat development in the U.S. for CKD anemia and there is a significant risk we will be unable to do so. There is also a significant risk that the AstraZeneca U.S./RoW Agreement will be amended or terminated. Our collaborations are exclusive for roxadustat and preclude us from entering into additional collaboration agreements with other parties in those geographies and indications already licensed.</w:t>
      </w:r>
    </w:p>
    <w:p>
      <w:pPr>
        <w:spacing w:after="0" w:line="18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Our collaboration partners also have certain rights to control decisions regarding the development and commercialization of our product candidates with respect to which they are providing funding. If we have a disagreement over strategy and activities with our collaboration partners, our plans for obtaining regulatory approval may be revised and negatively affect the anticipated timing and potential for success of our product candidates. Even if a product under a collaboration agreement receives regulatory approval, we will remain substantially dependent on the commercialization strategy and efforts of our collaboration partners, and our collaboration partners have limited or no experience in commercialization of an anemia drug. If our collaboration partners are unsuccessful in their commercialization efforts, our results will be negatively affected.</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With respect to our collaboration agreements for roxadustat, there are additional complexities in that our collaboration partners, Astellas and AstraZeneca, and we must reach consensus on certain portions of our development programs and regulatory activities. In addition, there are aspects of commercial operations that require cooperation among the collaboration partners, including safety data reporting.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or both, may negatively impact the timing or success of our regulatory approval applications.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may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and could impact our commercial results.</w:t>
      </w:r>
    </w:p>
    <w:p>
      <w:pPr>
        <w:spacing w:after="0" w:line="194"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5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If our preclinical and clinical trial contractors do not properly perform their agreed upon obligations, we may not be able to obtain or may be delayed in receiving regulatory approvals for our product candidates.</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third-party CROs to assist in undertaking, managing, monitoring and executing our ongoing clinical trials. We expect to continue to rely on CROs, clinical data management organizations, medical institutions and clinical investigators to conduct our development efforts in the future. We compete with many other companies for the resources of these third parties, and large pharmaceutical companies often have significantly more extensive agreements and relationships with such third-party providers, and such third-party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period of time. We cannot assure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do not have operating manufacturing facilities at this time other than our roxadustat manufacturing facilities in China, and our current commercial manufacturing plants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We rely on third parties for distribution, including our collaboration partners and their vendors, except in China where we have established a jointly owned entity with AstraZeneca to manage most of the distribution in China. Risks arising from our reliance on third-party manufacturers include:</w:t>
      </w:r>
    </w:p>
    <w:p>
      <w:pPr>
        <w:spacing w:after="0" w:line="67" w:lineRule="exact"/>
        <w:rPr>
          <w:sz w:val="20"/>
          <w:szCs w:val="20"/>
          <w:color w:val="auto"/>
        </w:rPr>
      </w:pPr>
    </w:p>
    <w:p>
      <w:pPr>
        <w:ind w:left="1020" w:right="80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third-party manufacturers and distributors for all aspects of manufacturing activities, including regulatory compliance and quality control and quality assurance;</w:t>
      </w:r>
    </w:p>
    <w:p>
      <w:pPr>
        <w:spacing w:after="0" w:line="62" w:lineRule="exact"/>
        <w:rPr>
          <w:rFonts w:ascii="Arial" w:cs="Arial" w:eastAsia="Arial" w:hAnsi="Arial"/>
          <w:sz w:val="18"/>
          <w:szCs w:val="18"/>
          <w:color w:val="auto"/>
        </w:rPr>
      </w:pPr>
    </w:p>
    <w:p>
      <w:pPr>
        <w:ind w:left="1020" w:right="300" w:hanging="503"/>
        <w:spacing w:after="0" w:line="291" w:lineRule="auto"/>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termination of manufacturing agreements, termination fees associated with such termination, or nonrenewal of manufacturing agreements with third parties may negatively impact our planned development and commercialization activities;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03" w:lineRule="exact"/>
        <w:rPr>
          <w:rFonts w:ascii="Arial" w:cs="Arial" w:eastAsia="Arial" w:hAnsi="Arial"/>
          <w:sz w:val="18"/>
          <w:szCs w:val="18"/>
          <w:color w:val="auto"/>
        </w:rPr>
      </w:pPr>
    </w:p>
    <w:p>
      <w:pPr>
        <w:ind w:left="1020" w:right="600" w:hanging="503"/>
        <w:spacing w:after="0" w:line="248"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distributors or suppliers unrelated to our product, including the merger, acquisition, or bankruptcy of a manufacturer or supplier or a catastrophic event, including disruption resulting from the COVID-19 pandemic, affecting our manufacturers, distributors or suppliers.</w:t>
      </w:r>
    </w:p>
    <w:p>
      <w:pPr>
        <w:spacing w:after="0" w:line="168"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limited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We have a letter agreement with IRIX Pharmaceuticals, Inc. (“IRIX”), a third-party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IRIX and we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acquired IRIX, and in 2017, ThermoFisher Scientific Inc. acquired Patheon Pharmaceuticals Inc.</w:t>
      </w:r>
    </w:p>
    <w:p>
      <w:pPr>
        <w:spacing w:after="0" w:line="158"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If any third-party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third-party manufacturer we expect to enter into technical transfer agreements and share our know-how with the third-party manufacturer, which can be time-consuming and may result in delays. These delays could result in a suspension or delay of marketing roxadustat.</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delays or technical problems associated with technology transfer, scale-up, or validation of our biologics manufacturing.*</w:t>
      </w:r>
    </w:p>
    <w:p>
      <w:pPr>
        <w:spacing w:after="0" w:line="113"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We have entered into an initial commercial supply agreement for the manufacture of pamrevlumab with Samsung Biologics Co., Ltd. (“Samsung”) and are transitioning our manufacturing of pamrevlumab from Boehringer Ingelheim Pharma GmbH &amp; Co. KG to Samsung. However, we may experience delays or technical problems associated with:</w:t>
      </w:r>
    </w:p>
    <w:p>
      <w:pPr>
        <w:spacing w:after="0" w:line="80" w:lineRule="exact"/>
        <w:rPr>
          <w:sz w:val="20"/>
          <w:szCs w:val="20"/>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technology transfer of the manufacturing process to Samsung;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scale-up and production of cGMP batches;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analytical method validation and transfer to Samsung;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process validation, including process characterization and process performance qualification batches;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set up and execution of appropriate stability studies.</w:t>
      </w:r>
    </w:p>
    <w:p>
      <w:pPr>
        <w:spacing w:after="0" w:line="19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have made certain manufacturing commitments to Samsung, and there is a contractual risk we will not require the quantities of pamrevlumab we have committed to, particularly if we cease some of our pamrevlumab clinical trials. In addition, 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 We also carry the risk that we may need to pay termination fees to Samsung or other manufacturers in the event that we have to manufacture lower volumes or not at all depending the results of our clinical trials. In addition, third party manufacturers tend to change their upfront fees or postponement/cancelation fees over time or upon initiation of additional contracts, and this may lead to unanticipated financial loss for FibroGen.</w:t>
      </w:r>
    </w:p>
    <w:p>
      <w:pPr>
        <w:spacing w:after="0" w:line="19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also carry the risk that if all three indications are successful, the commercial demand may exceed planned production supply at Samsung. In this event, it may be necessary to find third party manufacturers who have the capacity and capability to produce the required quantities of pamrevlumab. This may be subject to availability of such manufacturers since there are only a limited number of suppliers who have the larger scale bioreactors that are needed for commercial pamrevlumab supply. If we need to find a supplier in China, there may be additional delays in importing custom raw materials and supplements into China.</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86"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b w:val="1"/>
          <w:bCs w:val="1"/>
          <w:i w:val="1"/>
          <w:iCs w:val="1"/>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75"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We do not have an alternative supplier of certain components of our commercial products and product candidates. While we have obligations for second-source suppliers in our roxadustat collaboration agreements, we may be unable to enter into long-term commercial supply arrangements for roxadustat or our other products,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w:t>
      </w:r>
    </w:p>
    <w:p>
      <w:pPr>
        <w:spacing w:after="0" w:line="160"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active pharmaceutical ingredients (“API”), and drug product to meet our and our collaboration partners’ needs to date, the lead-time and regulatory approvals required to source from and into countries outside of the U.S. increase the risk of delay and potential shortages of supply.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90"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We rely upon a combination of patents, trade secret protection, and contractual arrangements to protect the intellectual property related to our technologies. We will only be able to protect our products and proprietary information and technology to the extent that our patents, trade secrets, contractual position, and governmental regulations and laws allow us to do so. Any unauthorized use or disclosure of proprietary information or technology could compromise our competitive position. Moreover, we are, have been, and may in the future be involved in legal proceedings involving our intellectual property and initiated by third parties, which proceedings can be associated with significant costs and commitment of management time and attention.</w:t>
      </w:r>
    </w:p>
    <w:p>
      <w:pPr>
        <w:spacing w:after="0" w:line="16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have in the past been involved,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48"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Composition-of-matter patents are generally considered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our licensors or we were the first to make the inventions claimed in our owned and licensed patents or patent applications, or that our licensors or we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have, are, and may again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84"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acknowledge ownership by us of inventions conceived as a result of employment from the point of conception and, to the extent necessary, perfect such ownership by assignment,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use, or misappropriation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and adversely affect our business and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disputes may be costly, time consuming, and may negatively affect our competitive position.*</w:t>
      </w:r>
    </w:p>
    <w:p>
      <w:pPr>
        <w:spacing w:after="0" w:line="104"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have initiated and may again initiate or become party to or be threatened with future litigation or other proceedings regarding intellectual property rights with respect to our product candidates and competing products.</w:t>
      </w:r>
    </w:p>
    <w:p>
      <w:pPr>
        <w:spacing w:after="0" w:line="155"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As our product candidates progress toward commercialization, 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80"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intend, if necessary, to vigorously enforce our intellectual property in order to protect the proprietary position of our product candidates, including roxadustat and pamrevlumab. In addition, our collaboration partners who have been granted licenses to our patents may also have rights related to enforcement of those patents. Active efforts to enforce our patents by us or by our partners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w:t>
      </w:r>
    </w:p>
    <w:p>
      <w:pPr>
        <w:spacing w:after="0" w:line="18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Third parties have challenged and may again challenge our patents and patent applications. For example, various challenges against our HIF anemia-related technologies patent portfolio are ongoing in several territories, including Europe, the United Kingdom, and Japan. Regardless of final outcome, the potential narrowing or revocation of any of the HIF anemia-related technology patents does not affect our exclusivity for roxadustat or our freedom-to-operate with respect to use of roxadustat for the treatment of anemia in these or other territories.</w:t>
      </w:r>
    </w:p>
    <w:p>
      <w:pPr>
        <w:spacing w:after="0" w:line="188"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Oppositions were filed against European Patent No. 2872488 (the “`488 Patent”), which claims a crystalline form of roxadustat, and against European Patent No. 3003284 (the “`284 Patent”), which claims photostable formulations of roxadustat. Similar challenges have been filed in China against patents which claim a crystalline form of roxadustat. Final resolution of such proceedings will take time, and we cannot be assured that these patents will ultimately survive as originally granted or at all.</w:t>
      </w:r>
    </w:p>
    <w:p>
      <w:pPr>
        <w:spacing w:after="0" w:line="188"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9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75"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that we have in place with them. Despite our efforts to protect our trade secrets and other confidential information, a competitor’s discovery of such trade secrets and information could impair our competitive position and have an adverse impact on our business.</w:t>
      </w:r>
    </w:p>
    <w:p>
      <w:pPr>
        <w:spacing w:after="0" w:line="29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63"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The U.S. Patent and Trademark Office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3"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90"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29" w:lineRule="exact"/>
        <w:rPr>
          <w:sz w:val="20"/>
          <w:szCs w:val="20"/>
          <w:color w:val="auto"/>
        </w:rPr>
      </w:pPr>
    </w:p>
    <w:p>
      <w:pPr>
        <w:ind w:left="1020" w:right="80" w:hanging="503"/>
        <w:spacing w:after="0" w:line="261"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or any of our licensors or strategic partners might not have been the first to file patent applications covering certain of our inventions.</w:t>
      </w:r>
    </w:p>
    <w:p>
      <w:pPr>
        <w:spacing w:after="0" w:line="126" w:lineRule="exact"/>
        <w:rPr>
          <w:rFonts w:ascii="Arial" w:cs="Arial" w:eastAsia="Arial" w:hAnsi="Arial"/>
          <w:sz w:val="16"/>
          <w:szCs w:val="16"/>
          <w:color w:val="auto"/>
        </w:rPr>
      </w:pPr>
    </w:p>
    <w:p>
      <w:pPr>
        <w:ind w:left="1020" w:right="80" w:hanging="503"/>
        <w:spacing w:after="0" w:line="261"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0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2" w:lineRule="exact"/>
        <w:rPr>
          <w:rFonts w:ascii="Arial" w:cs="Arial" w:eastAsia="Arial" w:hAnsi="Arial"/>
          <w:sz w:val="18"/>
          <w:szCs w:val="18"/>
          <w:color w:val="auto"/>
        </w:rPr>
      </w:pPr>
    </w:p>
    <w:p>
      <w:pPr>
        <w:ind w:left="1020" w:right="340" w:hanging="503"/>
        <w:spacing w:after="0" w:line="294" w:lineRule="auto"/>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6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regulatory approval process is highly uncertain and we may not obtain regulatory approval for our product candidates.</w:t>
      </w:r>
    </w:p>
    <w:p>
      <w:pPr>
        <w:spacing w:after="0" w:line="90"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For example, while we have received approval of our marketing authorization applications for roxadustat in the European Union, Great Britain, China, Japan, and other countries for CKD anemia for patients on dialysis and not on dialysis, we received a CRL in the U.S. from the FDA. It is possible that roxadustat will not obtain regulatory approval in additional countries or indications. It is possible that our other product candidates we may discover, in-license or acquire and seek to develop in the future, will not obtain regulatory approval in any particular jurisdiction.</w:t>
      </w:r>
    </w:p>
    <w:p>
      <w:pPr>
        <w:spacing w:after="0" w:line="284"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Our current and future relationships with customers, physicians, and third-party payors are subject to healthcare fraud and abuse laws, false claims laws, transparency laws, privacy and security laws, and other regulations. If we are unable to comply with such laws, we could face substantial penalties.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w:t>
      </w:r>
    </w:p>
    <w:p>
      <w:pPr>
        <w:spacing w:after="0" w:line="81" w:lineRule="exact"/>
        <w:rPr>
          <w:sz w:val="20"/>
          <w:szCs w:val="20"/>
          <w:color w:val="auto"/>
        </w:rPr>
      </w:pPr>
    </w:p>
    <w:p>
      <w:pPr>
        <w:ind w:left="1020" w:right="280" w:hanging="503"/>
        <w:spacing w:after="0" w:line="270" w:lineRule="auto"/>
        <w:tabs>
          <w:tab w:leader="none" w:pos="10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55" w:lineRule="exact"/>
        <w:rPr>
          <w:rFonts w:ascii="Arial" w:cs="Arial" w:eastAsia="Arial" w:hAnsi="Arial"/>
          <w:sz w:val="17"/>
          <w:szCs w:val="17"/>
          <w:color w:val="auto"/>
        </w:rPr>
      </w:pPr>
    </w:p>
    <w:p>
      <w:pPr>
        <w:jc w:val="both"/>
        <w:ind w:left="1020" w:right="120" w:hanging="503"/>
        <w:spacing w:after="0" w:line="248"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3" w:lineRule="exact"/>
        <w:rPr>
          <w:rFonts w:ascii="Arial" w:cs="Arial" w:eastAsia="Arial" w:hAnsi="Arial"/>
          <w:sz w:val="18"/>
          <w:szCs w:val="18"/>
          <w:color w:val="auto"/>
        </w:rPr>
      </w:pPr>
    </w:p>
    <w:p>
      <w:pPr>
        <w:ind w:left="1020" w:right="460" w:hanging="503"/>
        <w:spacing w:after="0" w:line="324" w:lineRule="auto"/>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Health Insurance Portability and Accountability Act of 1996, which created new federal criminal statutes that prohibit, among other things, executing a scheme to defraud any healthcare benefit program and making false statements relating to healthcare matters;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left="1020" w:right="20" w:hanging="503"/>
        <w:spacing w:after="0" w:line="24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as amended by Health Information Technology and Clinical Health Act, and its implementing regulations, which imposes certain requirements on certain covered healthcare providers, health plans, and healthcare clearinghouses as well as their respective business associates that perform services for them that involve the use, or disclosure of, individually identifiable health information as well as their covered subcontractors relating to the privacy, security, and transmission of individually identifiable health information;</w:t>
      </w:r>
    </w:p>
    <w:p>
      <w:pPr>
        <w:spacing w:after="0" w:line="81" w:lineRule="exact"/>
        <w:rPr>
          <w:rFonts w:ascii="Arial" w:cs="Arial" w:eastAsia="Arial" w:hAnsi="Arial"/>
          <w:sz w:val="18"/>
          <w:szCs w:val="18"/>
          <w:color w:val="auto"/>
        </w:rPr>
      </w:pPr>
    </w:p>
    <w:p>
      <w:pPr>
        <w:ind w:left="1020" w:right="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as amended by the Health Care and Education Reconciliation Act of 2010, which requires manufacturers of drugs, devices, biologics, and medical supplies to report annually to the Centers for Medicare &amp; Medicaid Services, information related to payments and other transfers of value to physicians (defined to include doctors, dentists, optometrists, podiatrists and chiropractors), other healthcare providers (such as physician assistants and nurse practitioners), and teaching hospitals, and ownership and investment interests held by physicians and other healthcare providers and their immediate family members;</w:t>
      </w:r>
    </w:p>
    <w:p>
      <w:pPr>
        <w:spacing w:after="0" w:line="81" w:lineRule="exact"/>
        <w:rPr>
          <w:rFonts w:ascii="Arial" w:cs="Arial" w:eastAsia="Arial" w:hAnsi="Arial"/>
          <w:sz w:val="18"/>
          <w:szCs w:val="18"/>
          <w:color w:val="auto"/>
        </w:rPr>
      </w:pPr>
    </w:p>
    <w:p>
      <w:pPr>
        <w:ind w:left="1020" w:right="120" w:hanging="503"/>
        <w:spacing w:after="0" w:line="255" w:lineRule="auto"/>
        <w:tabs>
          <w:tab w:leader="none" w:pos="10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foreign and state law equivalents of each of the above federal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71" w:lineRule="exact"/>
        <w:rPr>
          <w:rFonts w:ascii="Arial" w:cs="Arial" w:eastAsia="Arial" w:hAnsi="Arial"/>
          <w:sz w:val="17"/>
          <w:szCs w:val="17"/>
          <w:color w:val="auto"/>
        </w:rPr>
      </w:pPr>
    </w:p>
    <w:p>
      <w:pPr>
        <w:ind w:left="1020" w:right="100" w:hanging="503"/>
        <w:spacing w:after="0" w:line="276" w:lineRule="auto"/>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Trade Agreements Act (“TAA”), which requires that drugs sold to the U.S. Government must be manufactured in the U.S. or in TAA approved and designated countries. Drugs manufactured in countries not approved under the TAA, may not be sold to the U.S. without specific regulatory approval. We have little experience with this regulation and there is a risk that drugs made from Chinese-made API may not be sold to an entity of the U.S. such as the Veterans Health Administration due to our inability to obtain regulatory approval. While there have been recent Veterans Health Administration policy changes that appear to allow for sale of drugs from non-TAA approved countries, this policy may change or there may be additional policies or legislation that affect our ability to sell drug to the U.S. Government.</w:t>
      </w:r>
    </w:p>
    <w:p>
      <w:pPr>
        <w:spacing w:after="0" w:line="162"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If our operations are found to be in violation of any of such laws or any other governmental regulations that apply to us, we may be subject to significant penalties, including administrative, civil and criminal penalties, damages, fines, disgorgement,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18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Such actions could have a substantial adverse effect on the price of our common shares and could have a material adverse effect on our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laws and regulations governing corruption, which require us to maintain costly compliance programs.</w:t>
      </w:r>
    </w:p>
    <w:p>
      <w:pPr>
        <w:spacing w:after="0" w:line="10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must comply with a wide range of laws and regulations to prevent corruption, bribery, and other unethical business practices, including the U.S. Foreign Corrupt Practices Act (“FCPA”), anti-bribery and anti-corruption laws in other countries, particularly China. The implementation and maintenance of compliance programs is costly and such programs may be difficult to enforce, particularly where reliance on third parties is required.</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U.S. Securities and Exchange Commission (“SEC”) is involved with enforcement of the books and records provisions of the FCPA.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91"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partners, affiliates, subcontractors,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4"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an effective system of internal control, it may result in material misstatements in our financial statements.*</w:t>
      </w:r>
    </w:p>
    <w:p>
      <w:pPr>
        <w:spacing w:after="0" w:line="10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As a public company, we are required to comply with the Sarbanes-Oxley Act and other rules that govern public companies.</w:t>
      </w:r>
    </w:p>
    <w:p>
      <w:pPr>
        <w:spacing w:after="0" w:line="155"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Internal controls and remediation efforts place a significant burden on management and add increased pressure on our financial resources and processes. If we experience material weaknesses or otherwise fail to maintain an effective system of internal control over financial reporting, the accuracy and timing of our financial reporting may be adversely affected, our liquidity, our access to capital markets may be adversely affected, we may be unable to maintain or regain compliance with applicable securities laws, and the Nasdaq Stock Market LLC listing requirements, we may be subject to regulatory investigations and penalties, investors may lose confidence in our financial reporting, and our stock price may decline.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U.S. healthcare reform may adversely affect our business model.</w:t>
      </w:r>
    </w:p>
    <w:p>
      <w:pPr>
        <w:spacing w:after="0" w:line="10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In the U.S. and some foreign jurisdictions, there have been, and continue to be, several legislative and regulatory changes and proposed changes regarding the healthcare system that could affect our operations. In particular, 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74"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Further, in the U.S.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in July 2021, the Biden administration released an executive order that included multiple provisions aimed at prescription drugs. In response to Biden’s executive order, on September 9, 2021, the U.S. Department of Health and Human Services released a Comprehensive Plan for Addressing High Drug Prices that outlines principles for drug pricing reform. The plan sets out a variety of potential legislative policies that Congress could pursue as well as potential administrative actions the U.S. Department of Health and Human Services can take to advance these principles. No legislation or administrative actions have been finalized to implement these principles. In addition, Congress is considering additional health reform measures.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if approved or additional pricing pressures. Further, it is possible that additional government action is taken in response to the COVID-19 pandemic.</w:t>
      </w:r>
    </w:p>
    <w:p>
      <w:pPr>
        <w:spacing w:after="0" w:line="258"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Roxadustat is considered a Class 2 substance on the 2019 World Anti-Doping Agency Prohibited List that could limit sales and increase security and distribution costs for our partners and us.</w:t>
      </w:r>
    </w:p>
    <w:p>
      <w:pPr>
        <w:spacing w:after="0" w:line="62"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may engage in misconduct or improper activities, which could result in significant liability or harm our reputation.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04" w:lineRule="exact"/>
        <w:rPr>
          <w:sz w:val="20"/>
          <w:szCs w:val="20"/>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comply with privacy laws protecting personal information;</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protecting us from the negative impacts of governmental investigations or other actions or lawsuits stemming from a failure to be in compliance with such laws or regulations. An unfavorable outcome or settlement in connection with a governmental investigation or other action or lawsuit may result in a material adverse impact on our business, results of operations, financial condition, prospects, and stock price. Regardless of the outcome, litigation and governmental investigations can be costly, time-consuming, and disruptive to our business, results of operations, financial condition, reputation, and prospects.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comply with environmental, health or safety laws and regulations, we could incur fines, penalties or other costs.</w:t>
      </w:r>
    </w:p>
    <w:p>
      <w:pPr>
        <w:spacing w:after="0" w:line="10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0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have established operations in China and are seeking approval to commercialize our product candidates outside of the U.S., and a number of risks associated with international operations could materially and adversely affect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to our international operations, many of which may be beyond our control. These risks include:</w:t>
      </w:r>
    </w:p>
    <w:p>
      <w:pPr>
        <w:spacing w:after="0" w:line="115" w:lineRule="exact"/>
        <w:rPr>
          <w:sz w:val="20"/>
          <w:szCs w:val="20"/>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different regulatory requirements in different countries, including for drug approvals, manufacturing, and distribution;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0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62"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 and changes in tariffs and trade barriers;</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economic weakness, including inflation, or foreign currency fluctuations, which could result in increased operating costs and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U.S. and foreign taxes, including income, excise, customs, consumption, withholding, and payroll taxes;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political instability in particular foreign economies and markets; and</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specific to an international region, including war and terrorism, or natural disasters, including the differing impact of the COVID-19 pandemic on each region.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04"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The pharmaceutical industry in China is subject to comprehensive government regulation and supervision, encompassing the approval, registration, manufacturing, packaging, licensing and marketing of new drugs. In recent years, many aspects of pharmaceutical industry regulation have undergone significant reform, and reform may continue. For example, the Chinese government implemented regulations that impact distribution of pharmaceutical products in China, where at most two invoices may be issued throughout the distribution chain, a change that required us to change our distribution paradigm. Any regulatory changes or amendments may result in increased compliance costs to our business or cause delays in or prevent the successful development or commercialization of our product candidates in China. Any failure by us or our partners to maintain compliance with applicable laws and regulations or obtain and maintain required licenses and permits may result in the suspension or termination of our business activities in China.</w:t>
      </w:r>
    </w:p>
    <w:p>
      <w:pPr>
        <w:spacing w:after="0" w:line="271"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b w:val="1"/>
          <w:bCs w:val="1"/>
          <w:i w:val="1"/>
          <w:iCs w:val="1"/>
          <w:color w:val="auto"/>
        </w:rPr>
        <w:t>The China-operations portion of our audit is conducted by an independent registered public accounting firm that is not subject to inspection by the Public Company Accounting Oversight Board (“PCAOB”), which may negatively impact investor sentiment towards FibroGen or our China operations, which could adversely affect the market price of our common stock.</w:t>
      </w:r>
    </w:p>
    <w:p>
      <w:pPr>
        <w:spacing w:after="0" w:line="74"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The majority of audit work incurred for the audit report included in the 2021 Form 10-K was performed by the U.S.-based independent registered public accounting firm we have retained, PricewaterhouseCoopers LLP, which is headquartered in the U.S. and was not identified in the report issued by the PCAOB on December 16, 2021 as a firm that the PCAOB was unable to inspect.</w:t>
      </w:r>
    </w:p>
    <w:p>
      <w:pPr>
        <w:spacing w:after="0" w:line="182"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However, we estimate that between 20% and 30% of the total audit hours for our December 31, 2021 audit were provided by PricewaterhouseCoopers Zhong Tian LLP, which is headquartered in China. PricewaterhouseCoopers Zhong Tian LLP was identified in the report issued by the PCAOB on December 16, 2021 as a firm the PCAOB was unable to inspect.</w:t>
      </w:r>
    </w:p>
    <w:p>
      <w:pPr>
        <w:spacing w:after="0" w:line="18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On December 18, 2020, the Holding Foreign Companies Accountable Act (the “HFCAA”) was signed into law. The HFCAA requires that the SEC identify issuers that retain an auditor that has a branch or office that is located in a foreign jurisdiction and that the PCAOB determines it is unable to inspect or investigate completely because of a position taken by an authority in that foreign jurisdiction. As PricewaterhouseCoopers Zhong Tian LLP is located in China, a jurisdiction where the PCAOB has been unable to conduct inspections without the approval of the Chinese authorities, they are not currently subject to inspection. Amongst other things, the HFCAA requires the SEC to prohibit the securities of any issuer from being traded on any of the U.S. national securities exchanges, such as The Nasdaq Global Select Market (“Nasdaq”), or on the U.S. “over-the-counter” markets, if the auditor of the issuer’s financial statements is not subject to PCAOB inspections for three consecutive “non-inspection” years after the law became effective.</w:t>
      </w:r>
    </w:p>
    <w:p>
      <w:pPr>
        <w:spacing w:after="0" w:line="16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On June 22, 2021, the U.S. Senate passed the Accelerating Holding Foreign Companies Accountable Act (the “AHFCAA”), which, if enacted, would amend the HFCAA and require the SEC to prohibit an issuer’s securities from trading on any U.S. stock exchange if its auditor is not subject to PCAOB inspections for two consecutive “non-inspection” years instead of three, thus reducing the time period before our securities may be prohibited from trading or delisted. On February 4, 2022, the U.S. House of Representatives passed the America COMPETES Act of 2022, which includes the exact same amendment as the bill passed by the Senate. The America COMPETES Act of 2022, however, includes a broader range of legislation than the AHFCAA in response to the U.S. Innovation and Competition Act passed by the U.S. Senate in 2021. The U.S. House of Representatives and the U.S. Senate will need to agree on amendments to these respective bills to allow the legislature to pass their amended bills before the President can sign into law. It is unclear when the U.S. Senate and the U.S. House of Representatives will resolve the differences or if and when the President will sign the bill to make the amendments into law.</w:t>
      </w:r>
    </w:p>
    <w:p>
      <w:pPr>
        <w:spacing w:after="0" w:line="19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December 16, 2021, the PCAOB issued a report on its determination that it is unable to inspect or investigate completely PCAOB-registered accounting firms headquartered in China and in Hong Kong. PricewaterhouseCoopers Zhong Tian LLP was named in this report.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On December 2, 2021, the SEC adopted final amendments to its rules implementing the HFCAA and established procedures to identify issuers and prohibit the trading of the securities of certain registrants as required by the HFCAA. This rule stated that only the principal accountant, as defined by Rule 2-05 of Regulation S-X and PCAOB AS 1205, is “deemed ‘retained’ for purposes of Section 104(i) of the Sarbanes-Oxley Act and the Commission’s determination of whether the registrant should be a Commission Identified Issuer.” The principal accountant, as defined, that we have retained is PricewaterhouseCoopers LLP. The HFCAA does not apply to registrants that retain a principal accountant that is headquartered in the U.S. and subject to PCAOB inspection. Accordingly, the HFCAA does not currently apply to us.</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If our operations fundamentally change in a way that requires our independent registered public accounting firm be located in China or Hong Kong in order to comply with the standards of the PCAOB regarding principal auditor then the HFCAA would apply to us, including the potential delisting from Nasdaq and prohibition from trading in the over-the counter market in the U.S. Such a restriction would negatively impact our ability to raise capital. We view the likelihood to be remote that our operations will fundamentally change so as to require our principal auditor to be located in China or Hong Kong. Additionally, it is possible that in the future Congress could amend the HFCAA or the SEC could modify its regulations to apply the restrictions, including trading prohibitions and delisting, under the HFCAA in situations in which an independent registered public accounting firm in China or Hong Kong performs part of the audit such as in our current situation. There are currently no such proposals.</w:t>
      </w:r>
    </w:p>
    <w:p>
      <w:pPr>
        <w:spacing w:after="0" w:line="18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Inspections of auditors conducted by the PCAOB in territories outside of China have at times identified deficiencies in those auditors’ audit procedures and quality control procedures, which may be addressed as part of the inspection process to improve future audit quality. The lack of PCAOB inspections of audit work undertaken in China prevents the PCAOB from evaluating the effectiveness of such audits and such auditors’ quality control procedures. The component of our audit that was performed by PricewaterhouseCoopers Zhong Tian LLP and the work papers associated with such audit work is not currently subject to inspection by the PCAOB. As a result, investors are deprived of the potential benefits of such PCAOB inspections for this portion of our audit, which could cause investors and potential investors in our common stock to lose confidence in the audit procedures conducted by our U.S. auditor’s China-based subsidiary, which may negatively impact investor sentiment towards us or our China operations, which in turn could adversely affect the market price of our common stock.</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and China relations, as well as relations with other countries, and/or regulations may adversely impact our business.</w:t>
      </w:r>
    </w:p>
    <w:p>
      <w:pPr>
        <w:spacing w:after="0" w:line="115"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The U.S. government, including the SEC, has made statements and taken certain actions that have led to changes to U.S. and international relations, and will impact companies with connections to the U.S. or China, including imposing several rounds of tariffs affecting certain products manufactured in China, imposing certain sanctions and restrictions in relation to China, and issuing statements indicating enhanced review of companies with significant China-based operations. It is unknown whether and to what extent new legislation, executive orders, tariffs, laws or regulations will be adopted, or the effect that any such actions would have on companies with significant connections to the U.S. or to China, our industry or on us. We conduct manufacturing and development activities and have business operations both in the U.S. and China. Any unfavorable government policies on cross-border relations and/or international trade, including increased scrutiny on companies with significant China-based operations, capital controls or tariffs, may affect the competitive position of our drug products, the hiring of scientists and other research and development personnel, the demand for our drug products, the import or export of products and product components, our ability to raise capital, the market price of our common stock, or prevent us from commercializing and selling our drug products in certain countries.</w:t>
      </w:r>
    </w:p>
    <w:p>
      <w:pPr>
        <w:spacing w:after="0" w:line="18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While we do not operate in an industry that is currently subject to foreign ownership limitations in China, China could decide to limit foreign ownership in our industry, in which case there could be a risk that we would be unable to do business in China as we are currently structured. In addition, our periodic reports and other filings with the SEC may be subject to enhanced review by the SEC and this additional scrutiny could affect our ability to effectively raise capital in the U.S.</w:t>
      </w:r>
    </w:p>
    <w:p>
      <w:pPr>
        <w:spacing w:after="0" w:line="188" w:lineRule="exact"/>
        <w:rPr>
          <w:sz w:val="20"/>
          <w:szCs w:val="20"/>
          <w:color w:val="auto"/>
        </w:rPr>
      </w:pPr>
    </w:p>
    <w:p>
      <w:pPr>
        <w:jc w:val="both"/>
        <w:ind w:right="320"/>
        <w:spacing w:after="0" w:line="248" w:lineRule="auto"/>
        <w:rPr>
          <w:sz w:val="20"/>
          <w:szCs w:val="20"/>
          <w:color w:val="auto"/>
        </w:rPr>
      </w:pPr>
      <w:r>
        <w:rPr>
          <w:rFonts w:ascii="Arial" w:cs="Arial" w:eastAsia="Arial" w:hAnsi="Arial"/>
          <w:sz w:val="18"/>
          <w:szCs w:val="18"/>
          <w:color w:val="auto"/>
        </w:rPr>
        <w:t>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common stock.</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b w:val="1"/>
          <w:bCs w:val="1"/>
          <w:i w:val="1"/>
          <w:iCs w:val="1"/>
          <w:color w:val="auto"/>
        </w:rPr>
        <w:t>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have two manufacturing facilities in China, with one located in Beijing and the other in Cangzhou, Hebei.</w:t>
      </w:r>
    </w:p>
    <w:p>
      <w:pPr>
        <w:spacing w:after="0" w:line="21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We will be obligated to comply with continuing cGMP requirements and there can be no assurance that we will maintain all of the appropriate licenses required to manufacture our product candidates for clinical and commercial use in China. In addition, our product suppliers and we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continue to be successful in meeting these requirements.</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Manufacturing facilities in China are subject to periodic unannounced inspections by the National Medical Products Administration and other regulatory authorities. We expect to depend on these facilities for our product candidates and business operations in China, and we do not yet have a secondary source supplier for either roxadustat API or drug product in China. Natural disasters or other unanticipated catastrophic events, including power interruptions, water shortages, storms, fires, pandemics (including the COVID-19 pandemic),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30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Our collaboration partner in China, AstraZeneca, and we may experience difficulties in successfully growing and sustaining sales of roxadustat in China.</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AstraZeneca and we have a profit sharing arrangement with respect to roxadustat in China and any difficulties we may experience in growing and sustaining sales will affect our bottom line. Difficulties may be related to our ability to maintain reasonable pricing and reimbursement, obtain and maintain hospital listing, or other difficulties related to distribution, marketing, and sales efforts in China. Our current National Reimbursement Drug List reimbursement pricing is effective for a standard two-year period (between January 1, 2022 to December 31, 2023), after which time we will have to negotiate a new price for roxadustat. Sales of roxadustat in China may ultimately be limited due to the complex nature of the healthcare system, low average personal income, pricing controls, still developing infrastructure and potentially rapid competition from other products.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pricing control in China and elsewhere.</w:t>
      </w:r>
    </w:p>
    <w:p>
      <w:pPr>
        <w:spacing w:after="0" w:line="10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28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FibroGen (China) Medical Technology Development Co., Ltd. (“FibroGen Beijing”) would be subject to restrictions on paying dividends or making other payments to us, which may restrict our ability to satisfy our liquidity requirements.</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plan to conduct all of our business in China through FibroGen China Anemia Holdings, Ltd., FibroGen Beijing and its branch offices, and our joint venture distribution entity, Beijing Falikang Pharmaceutical Co., Ltd. (“Falikang”). We do not currently rely on revenue from China to fund our operations outside of China. However, we may in the future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June 30, 2022, approximately $77.5 million of our cash and cash equivalents is held in China.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or find suitable financing alternatives within China to fund our Chinese operations, and the liquidity and financial position of FibroGen Beijing may be materially and adversely affected.</w:t>
      </w:r>
    </w:p>
    <w:p>
      <w:pPr>
        <w:spacing w:after="0" w:line="28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6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the value of the Renminbi against the U.S. dollar, Euro and other currencies are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89"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by complying with certain procedural requirements. However, approval from the State Administration of Foreign Exchange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7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63" w:lineRule="exact"/>
        <w:rPr>
          <w:sz w:val="20"/>
          <w:szCs w:val="20"/>
          <w:color w:val="auto"/>
        </w:rPr>
      </w:pPr>
    </w:p>
    <w:p>
      <w:pPr>
        <w:jc w:val="both"/>
        <w:ind w:right="380"/>
        <w:spacing w:after="0" w:line="248"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 For example, the Biden administration has proposed to increase the U.S. corporate income tax rate from 21%, increase the U.S. taxation of our international business operations and impose a global minimum tax. Such proposed changes, as well as regulations and legal decisions interpreting and applying these changes, may adversely impact our effective tax rate.</w:t>
      </w:r>
    </w:p>
    <w:p>
      <w:pPr>
        <w:spacing w:after="0" w:line="16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spacing w:after="0" w:line="18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On December 22, 2017, the Tax Cuts and Jobs Act (Tax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04"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and regulations could have a material adverse effect on us.</w:t>
      </w:r>
    </w:p>
    <w:p>
      <w:pPr>
        <w:spacing w:after="0" w:line="10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legal system of China is a civil law system primarily based on written statutes. Our financial condition and results of operations may be adversely affected by government control, perceived government interference and/or changes in tax, cyber and data security, capital investments, cross-border transactions and other regulations that are currently or may in the future be applicable to us. Recently,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our ability to operate our business, our liquidity and our access to capital.</w:t>
      </w:r>
    </w:p>
    <w:p>
      <w:pPr>
        <w:spacing w:after="0" w:line="19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Furthermore, new laws or regulations may be passed, in some cases with little advance notice, that affect the way we or our collaboration partner do business in China (including the manufacture, sale, or distribution of roxadustat in China). Our business may be affected if we rely on laws and regulations that are subsequently adopted or interpreted in a manner different from our understanding of these laws and regulations. Navigating the uncertainty and change in the China legal and regulatory systems will require the devotion of significant resources and time, and there can be no assurance that our contractual and other rights will ultimately be maintained or enforced.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China’s economic, governmental, or social conditions could have a material adverse effect on our business.</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Recently,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additional Chinese requirements, approvals or permissions in the future.</w:t>
      </w:r>
    </w:p>
    <w:p>
      <w:pPr>
        <w:spacing w:after="0" w:line="10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are incorporated in the state of Delaware. To operate our general business activities currently conducted in China, each of our Chinese subsidiaries (and our joint venture with AstraZeneca, Falikang) is required to and does obtain a business license from the local counterpart of the State Administration for Market Regulation. Such business licenses list the business activities we are authorized to carry out and we would be noncompliant if we act outside of the scope of business activities set forth under the relevant business license.</w:t>
      </w:r>
    </w:p>
    <w:p>
      <w:pPr>
        <w:spacing w:after="0" w:line="18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Due to China’s regulatory framework in general and for the pharmaceutical industry specifically, we are required to apply for and maintain many approvals or permits specific to many of our business activities, including but not limited to manufacturing, distribution, environment protection, workplace safety, cybersecurity, from both national and local government agencies. For example, FibroGen Beijing is required to maintain a Drug Product Production Permit that allows it to manufacture API and roxadustat capsules. Falikang, our joint venture with AstraZeneca, is required to maintain a Drug Product Distribution Permit in order to be able to distribute our drug product roxadustat in China. For certain of our clinical trials conducted in China, we need to obtain, through the clinical sites, permits from the Human Genetic Resources Administration of China to collect samples that include human genetic resources, such as blood samples.</w:t>
      </w:r>
    </w:p>
    <w:p>
      <w:pPr>
        <w:spacing w:after="0" w:line="19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may also be required to obtain certain approvals from Chinese authorities before transferring certain scientific data abroad or to foreign parties or entities established or actually controlled by them.</w:t>
      </w:r>
    </w:p>
    <w:p>
      <w:pPr>
        <w:spacing w:after="0" w:line="17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None of our subsidiaries or our joint venture in China are required to obtain approval or prior permission from the China Securities Regulatory Commission, Cyberspace Administration of China, or any other Chinese regulatory authority under the Chinese laws and regulations currently in effect to issue securities to our investors. However, the approvals and permits we do have to comply with are numerous and there are uncertainties with respect to the Chinese legal system and changes in laws, regulations and policies, including how those laws and regulations will be interpreted or implemented. For further information, see the risk factor titled “</w:t>
      </w:r>
      <w:r>
        <w:rPr>
          <w:rFonts w:ascii="Arial" w:cs="Arial" w:eastAsia="Arial" w:hAnsi="Arial"/>
          <w:sz w:val="18"/>
          <w:szCs w:val="18"/>
          <w:i w:val="1"/>
          <w:iCs w:val="1"/>
          <w:color w:val="auto"/>
        </w:rPr>
        <w:t>Uncertainties with respect to the China legal system and regulations could have a material adverse effect on</w:t>
      </w:r>
      <w:r>
        <w:rPr>
          <w:rFonts w:ascii="Arial" w:cs="Arial" w:eastAsia="Arial" w:hAnsi="Arial"/>
          <w:sz w:val="18"/>
          <w:szCs w:val="18"/>
          <w:color w:val="auto"/>
        </w:rPr>
        <w:t xml:space="preserve"> </w:t>
      </w:r>
      <w:r>
        <w:rPr>
          <w:rFonts w:ascii="Arial" w:cs="Arial" w:eastAsia="Arial" w:hAnsi="Arial"/>
          <w:sz w:val="18"/>
          <w:szCs w:val="18"/>
          <w:i w:val="1"/>
          <w:iCs w:val="1"/>
          <w:color w:val="auto"/>
        </w:rPr>
        <w:t>us.</w:t>
      </w:r>
      <w:r>
        <w:rPr>
          <w:rFonts w:ascii="Arial" w:cs="Arial" w:eastAsia="Arial" w:hAnsi="Arial"/>
          <w:sz w:val="18"/>
          <w:szCs w:val="18"/>
          <w:color w:val="auto"/>
        </w:rPr>
        <w:t>” There can be no assurance that we will not be subject to new or changing requirements, approvals or permissions in the future in order to operate in</w:t>
      </w:r>
      <w:r>
        <w:rPr>
          <w:rFonts w:ascii="Arial" w:cs="Arial" w:eastAsia="Arial" w:hAnsi="Arial"/>
          <w:sz w:val="18"/>
          <w:szCs w:val="18"/>
          <w:i w:val="1"/>
          <w:iCs w:val="1"/>
          <w:color w:val="auto"/>
        </w:rPr>
        <w:t xml:space="preserve"> </w:t>
      </w:r>
      <w:r>
        <w:rPr>
          <w:rFonts w:ascii="Arial" w:cs="Arial" w:eastAsia="Arial" w:hAnsi="Arial"/>
          <w:sz w:val="18"/>
          <w:szCs w:val="18"/>
          <w:color w:val="auto"/>
        </w:rPr>
        <w:t>China.</w:t>
      </w:r>
    </w:p>
    <w:p>
      <w:pPr>
        <w:spacing w:after="0" w:line="19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If we are unable to obtain the necessary approvals or permissions in order to operate our business in China, if we inadvertently conclude that such approvals or permissions are not required, or if we are subject to additional requirements, approvals, or permissions, it could have an adverse effect on our business, financial condition and results of operations, our ability to raise capital and the market price of our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If the Chinese government determines that our corporate structure does not comply with Chinese regulations, or if Chinese regulations change or are interpreted differently in the future, the value of our common stock may decline.</w:t>
      </w:r>
    </w:p>
    <w:p>
      <w:pPr>
        <w:spacing w:after="0" w:line="63"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In July 2021, the Chinese government provided new guidance on China-based companies raising capital outside of China, including through arrangements called variable interest entities. We do not employ a variable interest entity structure for purposes of replicating foreign investment in Chinese-based companies where Chinese law prohibits direct foreign investment. We do not operate in an industry that is currently subject to foreign ownership limitations in China. However, there are uncertainties with respect to the Chinese legal system and there may be changes in laws, regulations and policies, including how those laws and regulations will be interpreted or implemented. For further information, see the risk factor titled “</w:t>
      </w:r>
      <w:r>
        <w:rPr>
          <w:rFonts w:ascii="Arial" w:cs="Arial" w:eastAsia="Arial" w:hAnsi="Arial"/>
          <w:sz w:val="17"/>
          <w:szCs w:val="17"/>
          <w:i w:val="1"/>
          <w:iCs w:val="1"/>
          <w:color w:val="auto"/>
        </w:rPr>
        <w:t>Uncertainties with respect</w:t>
      </w:r>
      <w:r>
        <w:rPr>
          <w:rFonts w:ascii="Arial" w:cs="Arial" w:eastAsia="Arial" w:hAnsi="Arial"/>
          <w:sz w:val="17"/>
          <w:szCs w:val="17"/>
          <w:color w:val="auto"/>
        </w:rPr>
        <w:t xml:space="preserve"> </w:t>
      </w:r>
      <w:r>
        <w:rPr>
          <w:rFonts w:ascii="Arial" w:cs="Arial" w:eastAsia="Arial" w:hAnsi="Arial"/>
          <w:sz w:val="17"/>
          <w:szCs w:val="17"/>
          <w:i w:val="1"/>
          <w:iCs w:val="1"/>
          <w:color w:val="auto"/>
        </w:rPr>
        <w:t>to the China legal system and regulations could have a material adverse effect on us.</w:t>
      </w:r>
      <w:r>
        <w:rPr>
          <w:rFonts w:ascii="Arial" w:cs="Arial" w:eastAsia="Arial" w:hAnsi="Arial"/>
          <w:sz w:val="17"/>
          <w:szCs w:val="17"/>
          <w:color w:val="auto"/>
        </w:rPr>
        <w:t>” If in the future the Chinese government determines that our</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structure does not comply with Chinese regulations, or if Chinese laws or regulations change or are interpreted differently from our understanding of these laws and regulations, the value of our common stock may decline.</w:t>
      </w:r>
    </w:p>
    <w:p>
      <w:pPr>
        <w:spacing w:after="0" w:line="28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6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continue to be adversely affected by the ongoing COVID-19 global pandemic.*</w:t>
      </w:r>
    </w:p>
    <w:p>
      <w:pPr>
        <w:spacing w:after="0" w:line="104"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The COVID-19 pandemic may continue to negatively impact our and/or our partners' sales of roxadustat, clinical programs and timelines, and general productivity, the magnitude of which will depend, in part, on the progression of the disease, the efficacy of various mitigation efforts, including vaccines and other therapeutics in preventing and treating current and future COVID-19 variants, and restrictions (including lockdowns) governments impose in response to new outbreaks of COVID-19 variants.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During the pandemic, we have seen impacts from COVID-19 on various parts of our operations and at varying degrees. Currently, the greatest risks from COVID-19 are regarding enrollment of our ZEPHYRUS-2 Phase 3 IPF trial and our sales and manufacturing operations in China due to varying degrees of lockdowns there. There is a risk that our sales, manufacturing, clinical trials and operations could be further affected by additional or continued COVID-19 outbreaks or lockdowns, which could slow or pause enrollment, site initiation, manufacturing or sales. In addition, while we are trying to mitigate the effect of COVID-19 on existing patients, it is possible that some patients may not be able to continue to comply with protocols, which could further delay our clinical trial progress.</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We believe we have sufficient stock of roxadustat and pamrevlumab supplies for our near-term expected commercial and clinical requirements. However, we only have a limited stockpile of these products, and therefore, further outbreaks of COVID-19, lockdowns like the ones in China, disruptions in shipping, or product expiration due to slowed clinical trials, could create supply shortages in our global supply chains. COVID-19 has also created increased demand for the limited global biologics manufacturing capacity, and for manufacturing supplies, including vials, reagents, supplements and media. Any such supply disruptions could adversely impact our clinical development and ability to generate revenues from our approved products and our business, financial condition, results of operations and growth prospects could be materially adversely affected.</w:t>
      </w:r>
    </w:p>
    <w:p>
      <w:pPr>
        <w:spacing w:after="0" w:line="175"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Due to these and potentially additional business disruptions, there may be delays to any of our business areas including those outlined above, as well as in regulatory, distribution, warehousing and other development, commercialization and launch efforts. In addition, COVID-19 presents an ongoing health risk to our employees, including members of senior management, thus potentially limiting productivity. The full extent of these potential effects is unknown, but any of which could have a material impact on our business, operating results, and financial condition.</w:t>
      </w:r>
    </w:p>
    <w:p>
      <w:pPr>
        <w:spacing w:after="0" w:line="17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To the extent the ongoing COVID-19 pandemic adversely affects our business and results of operations, it may also have the effect of heightening many of the other risks and uncertainties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Conflict in Ukraine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continue to be adversely affected by the ongoing war in Ukraine and the global response to it.*</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ongoing military conflict and war in Ukraine has significantly affected clinical trial sites in Ukraine where some patients are enrolled in our IPF ZEPHYRUS-2 Phase 3 clinical trial. While we are working to maintain continuity of patient treatment, patients have been negatively impacted by the war in Ukraine, and there is a risk that our ZEPHYRUS-2 clinical trial could continue to be adversely affected by the ongoing conflict due to reduced enrollment and participation by patients in Ukraine. In addition, the U.S. and other governments have taken actions, including imposed sanctions, export and import controls and trade restrictions with respect to Russian and Belarusian governments, government-related entities and other entities and individuals, which may cause significant volatility and disruptions to the global markets. It is not possible to predict the short- and long- term implications of this conflict, which could include but are not limited to further sanctions, uncertainty about economic and political stability, increases in inflation rate, supply chain challenges and adverse effects on currency exchange rates and financial markets. There is also a risk that the conflict could escalate and affect clinical trial sites and product sales outside of Ukraine. The full extent of these potential effects are unknown, but they could have a material impact on our business, operating results, and financial condition.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0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are a biopharmaceutical company with two lead product candidates in clinical development, roxadustat for anemia in CKD, MDS, and chemotherapy-induced anemia, and pamrevlumab for IPF, pancreatic cancer, and DMD. Most of our revenue generated to date has been based on our collaboration agreements and we have limited commercial drug product sales to date. We continue to incur significant research and development and other expenses related to our ongoing operations. Our net loss for the years ended December 31, 2021, 2020 and 2019 were $290.0 million, $189.3 million and $77.0 million, respectively. As of June 30, 2022, we had an accumulated deficit of $1.4 billion. As of June 30, 2022, we had capital resources consisting of cash, cash equivalents and short-term investments of $438.1 million plus $45.9 million of long-term investments classified as available for sale securities. In addition, as of June 30, 2022, we had $33.6 million accounts receivable in our current assets. Despite contractual development and cost coverage commitments from our collaboration partners, AstraZeneca and Astellas, and the potential to receive milestone and other payments from these partners, and despite commercialization efforts for roxadustat for the treatment of anemia caused by CKD, we anticipate we will continue to incur losses on an annual basis for the foreseeable future.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75"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We believe that we will continue to expend substantial resources for the foreseeable future as we continue to grow our operations in China, expand our clinical development efforts on pamrevlumab, continue to seek regulatory approval, establish commercialization capabilities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 partners and ourselves.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our existing cash and cash equivalents, short-term and long-term investments and accounts receivable, cash flows from commercial sales and sales of drug product, and expected third-party collaboration revenues will allow us to fund our operating plans through at least the next 12 months.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financings or other sources, such as royalty monetization or other structured financings. Future sales of equity or debt securities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7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Most of our recent revenue has been earned from collaboration partners for our product candidates under development.*</w:t>
      </w:r>
    </w:p>
    <w:p>
      <w:pPr>
        <w:spacing w:after="0" w:line="10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either or both of our Astellas and AstraZeneca collaborations were to be terminated, we could require significant additional capital in order to proceed with development and commercialization of our product candidates, including with respect to our potential commercialization of roxadustat for the treatment of anemia caused by CKD, or we may require additional partnering in order to help fund such development and commercialization. While we continue to commercialize roxadustat in China with AstraZeneca, and develop roxadustat in the U.S. for the treatment of anemia in patients with MDS, we have not been able to agree on a path forward for AstraZeneca to fund further roxadustat development in the U.S. for CKD anemia and there is a significant risk we will be unable to do so. There is also a significant risk that the U.S./RoW Agreement will be amended or terminated. If adequate funds or partners are not available to us on a timely basis or on favorable terms, we may be required to delay, limit, reduce or terminate our development or commercialization efforts or other operations.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04"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we expect that we will need to increase the responsibilities of management. Our failure to accomplish any of these steps could prevent us from successfully implementing our strategy and maintaining the confidence of investors in 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senior management and key personnel could adversely affect our business.</w:t>
      </w:r>
    </w:p>
    <w:p>
      <w:pPr>
        <w:spacing w:after="0" w:line="9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are highly dependent on members of our senior management team, including Enrique Conterno, our Chief Executive Officer. The loss of the services of Mr. Conterno or any of our senior management could significantly impact the development and commercialization of our products and product candidates and our ability to successfully implement our business strategy.</w:t>
      </w:r>
    </w:p>
    <w:p>
      <w:pPr>
        <w:spacing w:after="0" w:line="175" w:lineRule="exact"/>
        <w:rPr>
          <w:sz w:val="20"/>
          <w:szCs w:val="20"/>
          <w:color w:val="auto"/>
        </w:rPr>
      </w:pPr>
    </w:p>
    <w:p>
      <w:pPr>
        <w:ind w:right="300"/>
        <w:spacing w:after="0" w:line="261" w:lineRule="auto"/>
        <w:rPr>
          <w:sz w:val="20"/>
          <w:szCs w:val="20"/>
          <w:color w:val="auto"/>
        </w:rPr>
      </w:pPr>
      <w:r>
        <w:rPr>
          <w:rFonts w:ascii="Arial" w:cs="Arial" w:eastAsia="Arial" w:hAnsi="Arial"/>
          <w:sz w:val="16"/>
          <w:szCs w:val="16"/>
          <w:color w:val="auto"/>
        </w:rPr>
        <w:t>Recruiting and retaining qualified commercial, development, scientific, clinical, and manufacturing personnel are and will continue to be critical to our success, particularly as we expand our commercialization operations.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6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70"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We are exposed to the risks associated with litigation, investigations, regulatory proceedings, and other legal matters, any of which could have a material adverse effect on us.</w:t>
      </w:r>
    </w:p>
    <w:p>
      <w:pPr>
        <w:spacing w:after="0" w:line="63" w:lineRule="exact"/>
        <w:rPr>
          <w:sz w:val="20"/>
          <w:szCs w:val="20"/>
          <w:color w:val="auto"/>
        </w:rPr>
      </w:pPr>
    </w:p>
    <w:p>
      <w:pPr>
        <w:jc w:val="both"/>
        <w:ind w:right="180"/>
        <w:spacing w:after="0" w:line="294" w:lineRule="auto"/>
        <w:rPr>
          <w:sz w:val="20"/>
          <w:szCs w:val="20"/>
          <w:color w:val="auto"/>
        </w:rPr>
      </w:pPr>
      <w:r>
        <w:rPr>
          <w:rFonts w:ascii="Arial" w:cs="Arial" w:eastAsia="Arial" w:hAnsi="Arial"/>
          <w:sz w:val="16"/>
          <w:szCs w:val="16"/>
          <w:color w:val="auto"/>
        </w:rPr>
        <w:t>We are currently and may in the future face legal, administrative and regulatory proceedings, claims, demands, investigations and/or other dispute-related matters involving, among other things, our products, product candidates, or other issues relating to our business as well as allegations of violation of U.S. and foreign laws and regulations relating to intellectual property, competition, securities, consumer protection, and the environment.</w:t>
      </w:r>
    </w:p>
    <w:p>
      <w:pPr>
        <w:spacing w:after="0" w:line="14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For example, we and certain of our current and former executive officers have been named as defendants in a consolidated putative class action lawsuit (“Securities Class Action Litigation”) and certain of our current and former executive officers and directors have been named as defendants in several derivative lawsuits (“Derivative Litigation”). The complaint filed in the Securities Class Action Litigation alleges violations of the securities laws, including, among other things, that the defendants made certain materially false and misleading statements about our Phase 3 clinical studies data and prospects for FDA approval. The complaints filed in the Derivative Litigation asserts claims based on some of the same alleged misstatements and omissions as the Securities Class Action Litigation and seeks, among other things, unspecified damages. We intend to vigorously defend the claims made in the Securities Class Action Litigation and Derivative Litigation; however, the outcome of these matters cannot be predicted, and the claims raised in these lawsuits may result in further legal matters or actions against us, including, but not limited to, government enforcement actions or additional private litigation. In the fourth quarter of 2021, FibroGen received a subpoena from the SEC requesting documents related to roxadustat’s pooled cardiovascular safety data. We have been fully cooperating with the SEC’s investigation.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Our Board of Directors also received two litigation demands from our purported shareholders, asking the Board of Directors to investigate and take action against certain current and former officers and directors of ours for alleged wrongdoing based on the same allegations in the pending derivative and securities class action lawsuits. We may in the future receive such additional demands.</w:t>
      </w:r>
    </w:p>
    <w:p>
      <w:pPr>
        <w:spacing w:after="0" w:line="182"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 xml:space="preserve">We cannot predict whether any particular legal matter will be resolved favorably or ultimately result in charges or material damages, fines or other penalties, government enforcement actions, bars against serving as an officer or director, or civil or criminal proceedings against us or certain members of our senior management. For additional information regarding our pending litigation and SEC investigation, refer to Note 8,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to the condensed consolidated financial statements.</w:t>
      </w:r>
    </w:p>
    <w:p>
      <w:pPr>
        <w:spacing w:after="0" w:line="174"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Legal proceedings in general, and securities and class action litigation and regulatory investigations in particular, regardless of their merits or their ultimate outcomes, are costly, divert management’s attention and may materially adversely affect our business, results of operations, financial condition, prospects, and stock price. In addition, such legal matters could negatively impact our reputation among our customers, collaboration partners or our shareholders.</w:t>
      </w:r>
    </w:p>
    <w:p>
      <w:pPr>
        <w:spacing w:after="0" w:line="1" w:lineRule="exact"/>
        <w:rPr>
          <w:sz w:val="20"/>
          <w:szCs w:val="20"/>
          <w:color w:val="auto"/>
        </w:rPr>
      </w:pPr>
    </w:p>
    <w:p>
      <w:pPr>
        <w:jc w:val="both"/>
        <w:ind w:right="60"/>
        <w:spacing w:after="0" w:line="233" w:lineRule="auto"/>
        <w:rPr>
          <w:sz w:val="20"/>
          <w:szCs w:val="20"/>
          <w:color w:val="auto"/>
        </w:rPr>
      </w:pPr>
      <w:r>
        <w:rPr>
          <w:rFonts w:ascii="Arial" w:cs="Arial" w:eastAsia="Arial" w:hAnsi="Arial"/>
          <w:sz w:val="18"/>
          <w:szCs w:val="18"/>
          <w:color w:val="auto"/>
        </w:rPr>
        <w:t>Furthermore, publicity surrounding legal proceedings, including regulatory investigations, even if resolved favorably for us, could result in additional legal proceedings or regulatory investigations, as well as damage to our reputation.</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liabilities and may have to limit commercial operations.</w:t>
      </w:r>
    </w:p>
    <w:p>
      <w:pPr>
        <w:spacing w:after="0" w:line="102"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81" w:lineRule="exact"/>
        <w:rPr>
          <w:sz w:val="20"/>
          <w:szCs w:val="20"/>
          <w:color w:val="auto"/>
        </w:rPr>
      </w:pPr>
    </w:p>
    <w:p>
      <w:pPr>
        <w:ind w:left="1020" w:hanging="503"/>
        <w:spacing w:after="0"/>
        <w:tabs>
          <w:tab w:leader="none" w:pos="10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termination of further development of unapproved product candidates or significantly reduced demand for any approved products;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product recalls, product withdrawals or labeling restrictions;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198"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9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2019, and have continued to upgrade these capabilities.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sophisticated information technology systems and could face a cyber-attack or other breach of these systems.</w:t>
      </w:r>
    </w:p>
    <w:p>
      <w:pPr>
        <w:spacing w:after="0" w:line="104"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While we upgraded our disaster data recovery program in March 2019, a successful attack could result in the theft or destruction of intellectual property, data, or other misappropriation of assets, or otherwise compromise our confidential or proprietary information and disrupt our operations. Cyber-attacks are becoming more sophisticated and frequent. We have invested in our systems and the protection and recoverability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costs and expenses, expenses or lost revenues or other adverse consequences, any of which could have a material adverse effect on our business, results of operations, financial condition, prospects and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headquarters are located near known earthquake fault zones.</w:t>
      </w:r>
    </w:p>
    <w:p>
      <w:pPr>
        <w:spacing w:after="0" w:line="10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We and some of the third-party service providers on which we depend for various support functions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 and has been affected by the COVID-19 pandemic, including economic disruption resulting from the related shelter-in-place and stay-at-home governmental orders.</w:t>
      </w:r>
    </w:p>
    <w:p>
      <w:pPr>
        <w:spacing w:after="0" w:line="17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After a comprehensive earthquake risk analysis conducted by Marsh Risk, we decided not to purchase earthquake or flood insurance. Based upon (among other factors) the Marsh Risk analysis, the design and construction of our building, the expected potential loss, and the costs and deductibles associated with earthquake and flood insurance, we chose to self-insure. However, earthquakes or other natural disasters could severely disrupt our operations, or have a larger cost than expected, and have a material adverse effect on our business, results of operations, financial condition and prospects.</w:t>
      </w:r>
    </w:p>
    <w:p>
      <w:pPr>
        <w:spacing w:after="0" w:line="15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4"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Furthermore, integral parties in our supply chain are operating from single sites, increasing their vulnerability to natural disasters or other sudden, unforeseen and severe adverse events, such as the COVID-19 pandemic. If such an event were to affect our supply chain, it could have a material adverse effect on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your purchase price.</w:t>
      </w:r>
    </w:p>
    <w:p>
      <w:pPr>
        <w:spacing w:after="0" w:line="127"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64" w:lineRule="exact"/>
        <w:rPr>
          <w:sz w:val="20"/>
          <w:szCs w:val="20"/>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pamrevlumab;</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fluctuations in the valuation of the biotechnology industry and particular companies perceived by investors to be comparable to us;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activities of the government of China, including those related to the pharmaceutical industry as well as industrial policy generally;</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performance of other U.S. publicly traded companies with significant operations in China;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other factors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We are currently subject to such litigation and it has diverted, and could continue to result in diversions of, our management’s attention and resources and it could result in significant expense, monetary damages, penalties or injunctive relief against us. For a description of our pending litigation and SEC investigation, refer to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principal stockholders own a significant percentage of our stock and will be able to exercise influence over stockholder approvals.*</w:t>
      </w:r>
    </w:p>
    <w:p>
      <w:pPr>
        <w:spacing w:after="0" w:line="11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of July 31, 2022, our executive officers, directors and principal stockholders, together with their respective affiliates, owned approximately 54.84%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the date of this filing.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engage in acquisitions that could dilute stockholders and harm our business.</w:t>
      </w:r>
    </w:p>
    <w:p>
      <w:pPr>
        <w:spacing w:after="0" w:line="104"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spacing w:after="0" w:line="74" w:lineRule="exact"/>
        <w:rPr>
          <w:sz w:val="20"/>
          <w:szCs w:val="20"/>
          <w:color w:val="auto"/>
        </w:rPr>
      </w:pPr>
    </w:p>
    <w:p>
      <w:pPr>
        <w:ind w:left="1020" w:hanging="50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10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4" w:lineRule="exact"/>
        <w:rPr>
          <w:sz w:val="20"/>
          <w:szCs w:val="20"/>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reprioritization of our development programs and even cessation of development and commercialization of our current product candidates;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33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and may prevent attempts by our stockholders to replace or remove our current directors or management.</w:t>
      </w:r>
    </w:p>
    <w:p>
      <w:pPr>
        <w:spacing w:after="0" w:line="6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1" w:lineRule="exact"/>
        <w:rPr>
          <w:sz w:val="20"/>
          <w:szCs w:val="20"/>
          <w:color w:val="auto"/>
        </w:rPr>
      </w:pPr>
    </w:p>
    <w:p>
      <w:pPr>
        <w:ind w:left="1020" w:right="360" w:hanging="503"/>
        <w:spacing w:after="0" w:line="261"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0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03"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left="1020" w:hanging="503"/>
        <w:spacing w:after="0"/>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15" w:lineRule="exact"/>
        <w:rPr>
          <w:rFonts w:ascii="Arial" w:cs="Arial" w:eastAsia="Arial" w:hAnsi="Arial"/>
          <w:sz w:val="17"/>
          <w:szCs w:val="17"/>
          <w:color w:val="auto"/>
        </w:rPr>
      </w:pPr>
    </w:p>
    <w:p>
      <w:pPr>
        <w:ind w:left="1020" w:right="20" w:hanging="503"/>
        <w:spacing w:after="0" w:line="261" w:lineRule="auto"/>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1" w:lineRule="exact"/>
        <w:rPr>
          <w:sz w:val="20"/>
          <w:szCs w:val="20"/>
          <w:color w:val="auto"/>
        </w:rPr>
      </w:pPr>
    </w:p>
    <w:p>
      <w:pPr>
        <w:ind w:right="440"/>
        <w:spacing w:after="0" w:line="324" w:lineRule="auto"/>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2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9"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We are also subject to non-income taxes, such as payroll, excise, customs and duties, sales, use, value-added, net worth, property, gross receipts, and goods and services taxes in the U.S., state and local, and various foreign jurisdictions. We are subject to audit and assessments by tax authorities with respect to these non-income taxes and the determination of these non-income taxes is subject to varying interpretations arising from the complex nature of tax laws and regulations. Therefore, we may have exposure to additional non-income tax liabilities, which could have an adverse effect on our results of operations and financial condition.</w:t>
      </w:r>
    </w:p>
    <w:p>
      <w:pPr>
        <w:spacing w:after="0" w:line="17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tax regulations in the U.S. and other jurisdictions in which we operate are extremely complex and subject to change. Changes in tax regulations could have an adverse effect on our results of operations and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Tariffs imposed by the U.S. and those imposed in response by other countries could have a material adverse effect on our business.</w:t>
      </w:r>
    </w:p>
    <w:p>
      <w:pPr>
        <w:spacing w:after="0" w:line="102" w:lineRule="exact"/>
        <w:rPr>
          <w:sz w:val="20"/>
          <w:szCs w:val="20"/>
          <w:color w:val="auto"/>
        </w:rPr>
      </w:pPr>
    </w:p>
    <w:p>
      <w:pPr>
        <w:ind w:right="20"/>
        <w:spacing w:after="0"/>
        <w:rPr>
          <w:sz w:val="20"/>
          <w:szCs w:val="20"/>
          <w:color w:val="auto"/>
        </w:rPr>
      </w:pPr>
      <w:r>
        <w:rPr>
          <w:rFonts w:ascii="Arial" w:cs="Arial" w:eastAsia="Arial" w:hAnsi="Arial"/>
          <w:sz w:val="17"/>
          <w:szCs w:val="17"/>
          <w:color w:val="auto"/>
        </w:rPr>
        <w:t>Changes in U.S. and foreign governments’ trade policies have resulted in, and may continue to result in, tariffs on imports into and exports from the U.S. Throughout 2018 and 2019, the U.S. imposed tariffs on imports from several countries, including China. In response, China has proposed and implemented their own tariffs on certain products, which may impact our supply chain and our costs of doing business. If we are impacted by the changing trade relations between the U.S. and China, our business and results of operations may be negatively impacted. Continued diminished trade relations between the U.S. and other countries, including potential reductions in trade with China and others, as well as the continued escalation of tariffs, could have a material adverse effect on our financial performance and results of operations.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Our certificate of incorporation designates courts located in Delaware as the sole forum for certain proceedings, which could limit our stockholders’ ability to obtain a favorable judicial forum for disputes with us or our directors, officers or employees.</w:t>
      </w:r>
    </w:p>
    <w:p>
      <w:pPr>
        <w:spacing w:after="0" w:line="6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amended and restated certificate of incorporation provides that, subject to limited exceptions, the state and federal courts located in the State of Delaware will be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For example, the Derivative Litigation has been brought in federal court in California, despite the exclusive forum provision.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76"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plan to pay dividends. Capital appreciation will be your sole possible source of gain, which may never occur.</w:t>
      </w:r>
    </w:p>
    <w:p>
      <w:pPr>
        <w:spacing w:after="0" w:line="90"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or our share price could be negatively affected as a result of shareholder proposals or actions.</w:t>
      </w:r>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Public companies are facing increasing attention from stakeholders relating to environmental, social and governance matters, including corporate governance, executive compensation, environmental stewardship, social responsibility, and diversity and inclusion. Key stakeholders may advocate for enhanced environmental, social and governance disclosures or policies or may request that we make corporate governance changes or engage in certain corporate actions that we believe are not currently in the best interest of FibroGen or our stockholders. Responding to challenges from stockholders, such as proxy contests or media campaigns, could be costly and time consuming and could have an adverse effect on our reputation, which could have an adverse effect on our business and operational results, and could cause the market price of our common stock to decline or experience volatility.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ind w:left="480"/>
              <w:spacing w:after="0"/>
              <w:rPr>
                <w:sz w:val="20"/>
                <w:szCs w:val="20"/>
                <w:color w:val="auto"/>
              </w:rPr>
            </w:pPr>
            <w:r>
              <w:rPr>
                <w:rFonts w:ascii="Arial" w:cs="Arial" w:eastAsia="Arial" w:hAnsi="Arial"/>
                <w:sz w:val="14"/>
                <w:szCs w:val="14"/>
                <w:b w:val="1"/>
                <w:bCs w:val="1"/>
                <w:color w:val="auto"/>
                <w:w w:val="94"/>
              </w:rPr>
              <w:t>Incorporation By Reference</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980" w:type="dxa"/>
            <w:vAlign w:val="bottom"/>
            <w:gridSpan w:val="13"/>
            <w:vMerge w:val="restart"/>
          </w:tcPr>
          <w:p>
            <w:pPr>
              <w:ind w:left="148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88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4980" w:type="dxa"/>
            <w:vAlign w:val="bottom"/>
            <w:tcBorders>
              <w:bottom w:val="single" w:sz="8" w:color="auto"/>
            </w:tcBorders>
            <w:gridSpan w:val="1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7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1"/>
                <w:szCs w:val="11"/>
                <w:color w:val="auto"/>
              </w:rPr>
            </w:pPr>
          </w:p>
        </w:tc>
        <w:tc>
          <w:tcPr>
            <w:tcW w:w="1100" w:type="dxa"/>
            <w:vAlign w:val="bottom"/>
            <w:tcBorders>
              <w:bottom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SEC File No.</w:t>
            </w:r>
          </w:p>
        </w:tc>
        <w:tc>
          <w:tcPr>
            <w:tcW w:w="120" w:type="dxa"/>
            <w:vAlign w:val="bottom"/>
          </w:tcPr>
          <w:p>
            <w:pPr>
              <w:spacing w:after="0"/>
              <w:rPr>
                <w:sz w:val="11"/>
                <w:szCs w:val="11"/>
                <w:color w:val="auto"/>
              </w:rPr>
            </w:pPr>
          </w:p>
        </w:tc>
        <w:tc>
          <w:tcPr>
            <w:tcW w:w="900" w:type="dxa"/>
            <w:vAlign w:val="bottom"/>
            <w:tcBorders>
              <w:bottom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1"/>
                <w:szCs w:val="11"/>
                <w:color w:val="auto"/>
              </w:rPr>
            </w:pPr>
          </w:p>
        </w:tc>
        <w:tc>
          <w:tcPr>
            <w:tcW w:w="1280" w:type="dxa"/>
            <w:vAlign w:val="bottom"/>
            <w:tcBorders>
              <w:bottom w:val="single" w:sz="8" w:color="auto"/>
            </w:tcBorders>
          </w:tcPr>
          <w:p>
            <w:pPr>
              <w:ind w:left="300"/>
              <w:spacing w:after="0" w:line="129" w:lineRule="exact"/>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209"/>
        </w:trPr>
        <w:tc>
          <w:tcPr>
            <w:tcW w:w="880" w:type="dxa"/>
            <w:vAlign w:val="bottom"/>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5860" w:type="dxa"/>
            <w:vAlign w:val="bottom"/>
            <w:gridSpan w:val="16"/>
          </w:tcPr>
          <w:p>
            <w:pPr>
              <w:spacing w:after="0"/>
              <w:rPr>
                <w:rFonts w:ascii="Arial" w:cs="Arial" w:eastAsia="Arial" w:hAnsi="Arial"/>
                <w:sz w:val="18"/>
                <w:szCs w:val="18"/>
                <w:color w:val="0000FF"/>
              </w:rPr>
            </w:pPr>
            <w:hyperlink r:id="rId516">
              <w:r>
                <w:rPr>
                  <w:rFonts w:ascii="Arial" w:cs="Arial" w:eastAsia="Arial" w:hAnsi="Arial"/>
                  <w:sz w:val="18"/>
                  <w:szCs w:val="18"/>
                  <w:color w:val="0000FF"/>
                </w:rPr>
                <w:t>Amended and Restated Certificate of Incorporation of FibroGen, Inc.</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001-36740</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11/21/2014</w:t>
            </w:r>
          </w:p>
        </w:tc>
        <w:tc>
          <w:tcPr>
            <w:tcW w:w="0" w:type="dxa"/>
            <w:vAlign w:val="bottom"/>
          </w:tcPr>
          <w:p>
            <w:pPr>
              <w:spacing w:after="0"/>
              <w:rPr>
                <w:sz w:val="1"/>
                <w:szCs w:val="1"/>
                <w:color w:val="auto"/>
              </w:rPr>
            </w:pPr>
          </w:p>
        </w:tc>
      </w:tr>
      <w:tr>
        <w:trPr>
          <w:trHeight w:val="398"/>
        </w:trPr>
        <w:tc>
          <w:tcPr>
            <w:tcW w:w="88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4980" w:type="dxa"/>
            <w:vAlign w:val="bottom"/>
            <w:tcBorders>
              <w:top w:val="single" w:sz="8" w:color="0000FF"/>
            </w:tcBorders>
            <w:gridSpan w:val="9"/>
          </w:tcPr>
          <w:p>
            <w:pPr>
              <w:spacing w:after="0"/>
              <w:rPr>
                <w:rFonts w:ascii="Arial" w:cs="Arial" w:eastAsia="Arial" w:hAnsi="Arial"/>
                <w:sz w:val="18"/>
                <w:szCs w:val="18"/>
                <w:color w:val="0000FF"/>
              </w:rPr>
            </w:pPr>
            <w:hyperlink r:id="rId517">
              <w:r>
                <w:rPr>
                  <w:rFonts w:ascii="Arial" w:cs="Arial" w:eastAsia="Arial" w:hAnsi="Arial"/>
                  <w:sz w:val="18"/>
                  <w:szCs w:val="18"/>
                  <w:color w:val="0000FF"/>
                </w:rPr>
                <w:t>Amended and Restated Bylaws of FibroGen, Inc.</w:t>
              </w:r>
            </w:hyperlink>
          </w:p>
        </w:tc>
        <w:tc>
          <w:tcPr>
            <w:tcW w:w="880" w:type="dxa"/>
            <w:vAlign w:val="bottom"/>
            <w:gridSpan w:val="7"/>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333-199069</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10/23/2014</w:t>
            </w:r>
          </w:p>
        </w:tc>
        <w:tc>
          <w:tcPr>
            <w:tcW w:w="0" w:type="dxa"/>
            <w:vAlign w:val="bottom"/>
          </w:tcPr>
          <w:p>
            <w:pPr>
              <w:spacing w:after="0"/>
              <w:rPr>
                <w:sz w:val="1"/>
                <w:szCs w:val="1"/>
                <w:color w:val="auto"/>
              </w:rPr>
            </w:pPr>
          </w:p>
        </w:tc>
      </w:tr>
      <w:tr>
        <w:trPr>
          <w:trHeight w:val="399"/>
        </w:trPr>
        <w:tc>
          <w:tcPr>
            <w:tcW w:w="88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3540" w:type="dxa"/>
            <w:vAlign w:val="bottom"/>
            <w:tcBorders>
              <w:top w:val="single" w:sz="8" w:color="0000FF"/>
            </w:tcBorders>
            <w:gridSpan w:val="6"/>
          </w:tcPr>
          <w:p>
            <w:pPr>
              <w:spacing w:after="0"/>
              <w:rPr>
                <w:rFonts w:ascii="Arial" w:cs="Arial" w:eastAsia="Arial" w:hAnsi="Arial"/>
                <w:sz w:val="18"/>
                <w:szCs w:val="18"/>
                <w:color w:val="0000FF"/>
              </w:rPr>
            </w:pPr>
            <w:hyperlink r:id="rId518">
              <w:r>
                <w:rPr>
                  <w:rFonts w:ascii="Arial" w:cs="Arial" w:eastAsia="Arial" w:hAnsi="Arial"/>
                  <w:sz w:val="18"/>
                  <w:szCs w:val="18"/>
                  <w:color w:val="0000FF"/>
                </w:rPr>
                <w:t>Form of Common Stock Certificate.</w:t>
              </w:r>
            </w:hyperlink>
          </w:p>
        </w:tc>
        <w:tc>
          <w:tcPr>
            <w:tcW w:w="2320" w:type="dxa"/>
            <w:vAlign w:val="bottom"/>
            <w:gridSpan w:val="10"/>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001-36740</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11/21/2014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80" w:type="dxa"/>
            <w:vAlign w:val="bottom"/>
          </w:tcPr>
          <w:p>
            <w:pPr>
              <w:ind w:lef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5860" w:type="dxa"/>
            <w:vAlign w:val="bottom"/>
            <w:gridSpan w:val="16"/>
          </w:tcPr>
          <w:p>
            <w:pPr>
              <w:spacing w:after="0"/>
              <w:rPr>
                <w:rFonts w:ascii="Arial" w:cs="Arial" w:eastAsia="Arial" w:hAnsi="Arial"/>
                <w:sz w:val="18"/>
                <w:szCs w:val="18"/>
                <w:color w:val="0000FF"/>
              </w:rPr>
            </w:pPr>
            <w:hyperlink r:id="rId519">
              <w:r>
                <w:rPr>
                  <w:rFonts w:ascii="Arial" w:cs="Arial" w:eastAsia="Arial" w:hAnsi="Arial"/>
                  <w:sz w:val="18"/>
                  <w:szCs w:val="18"/>
                  <w:color w:val="0000FF"/>
                </w:rPr>
                <w:t>Common Stock Purchase Agreement by and between FibroGen, Inc. and</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333-199069</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5"/>
              </w:rPr>
              <w:t>4.17</w:t>
            </w: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10/24/2014</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519">
              <w:r>
                <w:rPr>
                  <w:rFonts w:ascii="Arial" w:cs="Arial" w:eastAsia="Arial" w:hAnsi="Arial"/>
                  <w:sz w:val="18"/>
                  <w:szCs w:val="18"/>
                  <w:color w:val="0000FF"/>
                  <w:w w:val="89"/>
                </w:rPr>
                <w:t>AstraZeneca AB, dated as of October 20, 2014.</w:t>
              </w:r>
            </w:hyperlink>
          </w:p>
        </w:tc>
        <w:tc>
          <w:tcPr>
            <w:tcW w:w="20" w:type="dxa"/>
            <w:vAlign w:val="bottom"/>
            <w:tcBorders>
              <w:top w:val="single" w:sz="8" w:color="0000FF"/>
              <w:bottom w:val="single" w:sz="8" w:color="0000EE"/>
            </w:tcBorders>
          </w:tcPr>
          <w:p>
            <w:pPr>
              <w:spacing w:after="0"/>
              <w:rPr>
                <w:sz w:val="13"/>
                <w:szCs w:val="13"/>
                <w:color w:val="auto"/>
              </w:rPr>
            </w:pPr>
          </w:p>
        </w:tc>
        <w:tc>
          <w:tcPr>
            <w:tcW w:w="1840" w:type="dxa"/>
            <w:vAlign w:val="bottom"/>
            <w:tcBorders>
              <w:top w:val="single" w:sz="8" w:color="0000FF"/>
            </w:tcBorders>
            <w:gridSpan w:val="5"/>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9"/>
                <w:szCs w:val="19"/>
                <w:color w:val="auto"/>
              </w:rPr>
            </w:pPr>
          </w:p>
        </w:tc>
        <w:tc>
          <w:tcPr>
            <w:tcW w:w="5860" w:type="dxa"/>
            <w:vAlign w:val="bottom"/>
            <w:gridSpan w:val="16"/>
          </w:tcPr>
          <w:p>
            <w:pPr>
              <w:spacing w:after="0"/>
              <w:rPr>
                <w:rFonts w:ascii="Arial" w:cs="Arial" w:eastAsia="Arial" w:hAnsi="Arial"/>
                <w:sz w:val="18"/>
                <w:szCs w:val="18"/>
                <w:color w:val="0000FF"/>
                <w:w w:val="94"/>
              </w:rPr>
            </w:pPr>
            <w:hyperlink w:anchor="page86">
              <w:r>
                <w:rPr>
                  <w:rFonts w:ascii="Arial" w:cs="Arial" w:eastAsia="Arial" w:hAnsi="Arial"/>
                  <w:sz w:val="18"/>
                  <w:szCs w:val="18"/>
                  <w:color w:val="0000FF"/>
                  <w:w w:val="94"/>
                </w:rPr>
                <w:t>Certification of Chief Executive Officer, as required by Rule 13a-14(a) or Rule</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86">
              <w:r>
                <w:rPr>
                  <w:rFonts w:ascii="Arial" w:cs="Arial" w:eastAsia="Arial" w:hAnsi="Arial"/>
                  <w:sz w:val="18"/>
                  <w:szCs w:val="18"/>
                  <w:color w:val="0000FF"/>
                  <w:w w:val="89"/>
                </w:rPr>
                <w:t>15d-14(a).</w:t>
              </w:r>
            </w:hyperlink>
          </w:p>
        </w:tc>
        <w:tc>
          <w:tcPr>
            <w:tcW w:w="20" w:type="dxa"/>
            <w:vAlign w:val="bottom"/>
            <w:tcBorders>
              <w:top w:val="single" w:sz="8" w:color="0000FF"/>
              <w:bottom w:val="single" w:sz="8" w:color="0000EE"/>
            </w:tcBorders>
          </w:tcPr>
          <w:p>
            <w:pPr>
              <w:spacing w:after="0"/>
              <w:rPr>
                <w:sz w:val="13"/>
                <w:szCs w:val="13"/>
                <w:color w:val="auto"/>
              </w:rPr>
            </w:pPr>
          </w:p>
        </w:tc>
        <w:tc>
          <w:tcPr>
            <w:tcW w:w="4960" w:type="dxa"/>
            <w:vAlign w:val="bottom"/>
            <w:tcBorders>
              <w:top w:val="single" w:sz="8" w:color="0000FF"/>
            </w:tcBorders>
            <w:gridSpan w:val="12"/>
          </w:tcPr>
          <w:p>
            <w:pPr>
              <w:spacing w:after="0"/>
              <w:rPr>
                <w:sz w:val="13"/>
                <w:szCs w:val="13"/>
                <w:color w:val="auto"/>
              </w:rPr>
            </w:pPr>
          </w:p>
        </w:tc>
        <w:tc>
          <w:tcPr>
            <w:tcW w:w="12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9"/>
                <w:szCs w:val="19"/>
                <w:color w:val="auto"/>
              </w:rPr>
            </w:pPr>
          </w:p>
        </w:tc>
        <w:tc>
          <w:tcPr>
            <w:tcW w:w="5860" w:type="dxa"/>
            <w:vAlign w:val="bottom"/>
            <w:gridSpan w:val="16"/>
          </w:tcPr>
          <w:p>
            <w:pPr>
              <w:spacing w:after="0"/>
              <w:rPr>
                <w:rFonts w:ascii="Arial" w:cs="Arial" w:eastAsia="Arial" w:hAnsi="Arial"/>
                <w:sz w:val="18"/>
                <w:szCs w:val="18"/>
                <w:color w:val="0000FF"/>
                <w:w w:val="95"/>
              </w:rPr>
            </w:pPr>
            <w:hyperlink w:anchor="page87">
              <w:r>
                <w:rPr>
                  <w:rFonts w:ascii="Arial" w:cs="Arial" w:eastAsia="Arial" w:hAnsi="Arial"/>
                  <w:sz w:val="18"/>
                  <w:szCs w:val="18"/>
                  <w:color w:val="0000FF"/>
                  <w:w w:val="95"/>
                </w:rPr>
                <w:t>Certification of Chief Financial Officer, as required by Rule 13a-14(a) or Rule</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15d-14(a).</w:t>
              </w:r>
            </w:hyperlink>
          </w:p>
        </w:tc>
        <w:tc>
          <w:tcPr>
            <w:tcW w:w="20" w:type="dxa"/>
            <w:vAlign w:val="bottom"/>
            <w:tcBorders>
              <w:top w:val="single" w:sz="8" w:color="0000FF"/>
              <w:bottom w:val="single" w:sz="8" w:color="0000EE"/>
            </w:tcBorders>
          </w:tcPr>
          <w:p>
            <w:pPr>
              <w:spacing w:after="0"/>
              <w:rPr>
                <w:sz w:val="13"/>
                <w:szCs w:val="13"/>
                <w:color w:val="auto"/>
              </w:rPr>
            </w:pPr>
          </w:p>
        </w:tc>
        <w:tc>
          <w:tcPr>
            <w:tcW w:w="49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9"/>
                <w:szCs w:val="19"/>
                <w:color w:val="auto"/>
              </w:rPr>
            </w:pPr>
          </w:p>
        </w:tc>
        <w:tc>
          <w:tcPr>
            <w:tcW w:w="5860" w:type="dxa"/>
            <w:vAlign w:val="bottom"/>
            <w:gridSpan w:val="16"/>
          </w:tcPr>
          <w:p>
            <w:pPr>
              <w:spacing w:after="0"/>
              <w:rPr>
                <w:rFonts w:ascii="Arial" w:cs="Arial" w:eastAsia="Arial" w:hAnsi="Arial"/>
                <w:sz w:val="18"/>
                <w:szCs w:val="18"/>
                <w:color w:val="0000FF"/>
                <w:w w:val="96"/>
              </w:rPr>
            </w:pPr>
            <w:hyperlink w:anchor="page88">
              <w:r>
                <w:rPr>
                  <w:rFonts w:ascii="Arial" w:cs="Arial" w:eastAsia="Arial" w:hAnsi="Arial"/>
                  <w:sz w:val="18"/>
                  <w:szCs w:val="18"/>
                  <w:color w:val="0000FF"/>
                  <w:w w:val="96"/>
                </w:rPr>
                <w:t>Certification of Principal Executive Officer and Principal Financial Officer, as</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w:anchor="page88">
              <w:r>
                <w:rPr>
                  <w:rFonts w:ascii="Arial" w:cs="Arial" w:eastAsia="Arial" w:hAnsi="Arial"/>
                  <w:sz w:val="18"/>
                  <w:szCs w:val="18"/>
                  <w:color w:val="0000FF"/>
                  <w:w w:val="91"/>
                </w:rPr>
                <w:t>required by Rule 13a-14(b) or Rule 15d-14(b) and Section 1350 of Chapter 63</w:t>
              </w:r>
            </w:hyperlink>
          </w:p>
        </w:tc>
        <w:tc>
          <w:tcPr>
            <w:tcW w:w="40" w:type="dxa"/>
            <w:vAlign w:val="bottom"/>
            <w:tcBorders>
              <w:bottom w:val="single" w:sz="8" w:color="0000FF"/>
            </w:tcBorders>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340" w:type="dxa"/>
            <w:vAlign w:val="bottom"/>
            <w:tcBorders>
              <w:bottom w:val="single" w:sz="8" w:color="0000FF"/>
            </w:tcBorders>
            <w:gridSpan w:val="7"/>
          </w:tcPr>
          <w:p>
            <w:pPr>
              <w:spacing w:after="0" w:line="156" w:lineRule="exact"/>
              <w:rPr>
                <w:rFonts w:ascii="Arial" w:cs="Arial" w:eastAsia="Arial" w:hAnsi="Arial"/>
                <w:sz w:val="18"/>
                <w:szCs w:val="18"/>
                <w:color w:val="0000FF"/>
                <w:w w:val="91"/>
              </w:rPr>
            </w:pPr>
            <w:hyperlink w:anchor="page88">
              <w:r>
                <w:rPr>
                  <w:rFonts w:ascii="Arial" w:cs="Arial" w:eastAsia="Arial" w:hAnsi="Arial"/>
                  <w:sz w:val="18"/>
                  <w:szCs w:val="18"/>
                  <w:color w:val="0000FF"/>
                  <w:w w:val="91"/>
                </w:rPr>
                <w:t>of Title 18 of the United States Code (18 U.S.C. §1350)(1)).</w:t>
              </w:r>
            </w:hyperlink>
          </w:p>
        </w:tc>
        <w:tc>
          <w:tcPr>
            <w:tcW w:w="20" w:type="dxa"/>
            <w:vAlign w:val="bottom"/>
            <w:tcBorders>
              <w:bottom w:val="single" w:sz="8" w:color="0000EE"/>
            </w:tcBorders>
          </w:tcPr>
          <w:p>
            <w:pPr>
              <w:spacing w:after="0"/>
              <w:rPr>
                <w:sz w:val="13"/>
                <w:szCs w:val="13"/>
                <w:color w:val="auto"/>
              </w:rPr>
            </w:pPr>
          </w:p>
        </w:tc>
        <w:tc>
          <w:tcPr>
            <w:tcW w:w="1360" w:type="dxa"/>
            <w:vAlign w:val="bottom"/>
            <w:gridSpan w:val="5"/>
          </w:tcPr>
          <w:p>
            <w:pPr>
              <w:spacing w:after="0"/>
              <w:rPr>
                <w:sz w:val="13"/>
                <w:szCs w:val="13"/>
                <w:color w:val="auto"/>
              </w:rPr>
            </w:pPr>
          </w:p>
        </w:tc>
        <w:tc>
          <w:tcPr>
            <w:tcW w:w="14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8"/>
                <w:szCs w:val="18"/>
                <w:color w:val="auto"/>
              </w:rPr>
            </w:pPr>
          </w:p>
        </w:tc>
        <w:tc>
          <w:tcPr>
            <w:tcW w:w="5860" w:type="dxa"/>
            <w:vAlign w:val="bottom"/>
            <w:gridSpan w:val="16"/>
          </w:tcPr>
          <w:p>
            <w:pPr>
              <w:spacing w:after="0"/>
              <w:rPr>
                <w:sz w:val="20"/>
                <w:szCs w:val="20"/>
                <w:color w:val="auto"/>
              </w:rPr>
            </w:pPr>
            <w:r>
              <w:rPr>
                <w:rFonts w:ascii="Arial" w:cs="Arial" w:eastAsia="Arial" w:hAnsi="Arial"/>
                <w:sz w:val="18"/>
                <w:szCs w:val="18"/>
                <w:color w:val="auto"/>
                <w:w w:val="92"/>
              </w:rPr>
              <w:t>Inline XBRL Instance Document: the instance document does not appear in the</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60" w:type="dxa"/>
            <w:vAlign w:val="bottom"/>
            <w:gridSpan w:val="16"/>
          </w:tcPr>
          <w:p>
            <w:pPr>
              <w:spacing w:after="0" w:line="176" w:lineRule="exact"/>
              <w:rPr>
                <w:sz w:val="20"/>
                <w:szCs w:val="20"/>
                <w:color w:val="auto"/>
              </w:rPr>
            </w:pPr>
            <w:r>
              <w:rPr>
                <w:rFonts w:ascii="Arial" w:cs="Arial" w:eastAsia="Arial" w:hAnsi="Arial"/>
                <w:sz w:val="18"/>
                <w:szCs w:val="18"/>
                <w:color w:val="auto"/>
                <w:w w:val="97"/>
              </w:rPr>
              <w:t>Interactive Data File because its XBRL tags are embedded within the Inline</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60" w:type="dxa"/>
            <w:vAlign w:val="bottom"/>
            <w:gridSpan w:val="16"/>
          </w:tcPr>
          <w:p>
            <w:pPr>
              <w:spacing w:after="0"/>
              <w:rPr>
                <w:sz w:val="20"/>
                <w:szCs w:val="20"/>
                <w:color w:val="auto"/>
              </w:rPr>
            </w:pPr>
            <w:r>
              <w:rPr>
                <w:rFonts w:ascii="Arial" w:cs="Arial" w:eastAsia="Arial" w:hAnsi="Arial"/>
                <w:sz w:val="18"/>
                <w:szCs w:val="18"/>
                <w:color w:val="auto"/>
              </w:rPr>
              <w:t>XBRL document</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8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1"/>
                <w:szCs w:val="21"/>
                <w:color w:val="auto"/>
              </w:rPr>
            </w:pPr>
          </w:p>
        </w:tc>
        <w:tc>
          <w:tcPr>
            <w:tcW w:w="586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19"/>
        </w:trPr>
        <w:tc>
          <w:tcPr>
            <w:tcW w:w="88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586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18"/>
        </w:trPr>
        <w:tc>
          <w:tcPr>
            <w:tcW w:w="88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586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18"/>
        </w:trPr>
        <w:tc>
          <w:tcPr>
            <w:tcW w:w="88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586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18"/>
        </w:trPr>
        <w:tc>
          <w:tcPr>
            <w:tcW w:w="88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586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80"/>
        </w:trPr>
        <w:tc>
          <w:tcPr>
            <w:tcW w:w="88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5860" w:type="dxa"/>
            <w:vAlign w:val="bottom"/>
            <w:gridSpan w:val="16"/>
          </w:tcPr>
          <w:p>
            <w:pPr>
              <w:spacing w:after="0"/>
              <w:rPr>
                <w:sz w:val="20"/>
                <w:szCs w:val="20"/>
                <w:color w:val="auto"/>
              </w:rPr>
            </w:pPr>
            <w:r>
              <w:rPr>
                <w:rFonts w:ascii="Arial" w:cs="Arial" w:eastAsia="Arial" w:hAnsi="Arial"/>
                <w:sz w:val="18"/>
                <w:szCs w:val="18"/>
                <w:color w:val="auto"/>
                <w:w w:val="98"/>
              </w:rPr>
              <w:t>Cover Page Interactive Data File (formatted as inline XBRL with applicable</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ind w:left="1020"/>
        <w:spacing w:after="0"/>
        <w:rPr>
          <w:sz w:val="20"/>
          <w:szCs w:val="20"/>
          <w:color w:val="auto"/>
        </w:rPr>
      </w:pPr>
      <w:r>
        <w:rPr>
          <w:rFonts w:ascii="Arial" w:cs="Arial" w:eastAsia="Arial" w:hAnsi="Arial"/>
          <w:sz w:val="18"/>
          <w:szCs w:val="18"/>
          <w:color w:val="auto"/>
        </w:rPr>
        <w:t>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66865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0">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3" w:lineRule="exact"/>
        <w:rPr>
          <w:sz w:val="20"/>
          <w:szCs w:val="20"/>
          <w:color w:val="auto"/>
        </w:rPr>
      </w:pPr>
    </w:p>
    <w:p>
      <w:pPr>
        <w:ind w:left="5860"/>
        <w:spacing w:after="0"/>
        <w:rPr>
          <w:sz w:val="20"/>
          <w:szCs w:val="20"/>
          <w:color w:val="auto"/>
        </w:rPr>
      </w:pPr>
      <w:r>
        <w:rPr>
          <w:rFonts w:ascii="Arial" w:cs="Arial" w:eastAsia="Arial" w:hAnsi="Arial"/>
          <w:sz w:val="18"/>
          <w:szCs w:val="18"/>
          <w:b w:val="1"/>
          <w:bCs w:val="1"/>
          <w:u w:val="single" w:color="auto"/>
          <w:color w:val="auto"/>
        </w:rPr>
        <w:t>FibroGen, Inc.</w:t>
      </w: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5840" w:val="left"/>
        </w:tabs>
        <w:rPr>
          <w:sz w:val="20"/>
          <w:szCs w:val="20"/>
          <w:color w:val="auto"/>
        </w:rPr>
      </w:pPr>
      <w:r>
        <w:rPr>
          <w:rFonts w:ascii="Arial" w:cs="Arial" w:eastAsia="Arial" w:hAnsi="Arial"/>
          <w:sz w:val="18"/>
          <w:szCs w:val="18"/>
          <w:color w:val="auto"/>
        </w:rPr>
        <w:t>Dated: August 8, 2022</w:t>
      </w:r>
      <w:r>
        <w:rPr>
          <w:sz w:val="20"/>
          <w:szCs w:val="20"/>
          <w:color w:val="auto"/>
        </w:rPr>
        <w:tab/>
      </w:r>
      <w:r>
        <w:rPr>
          <w:rFonts w:ascii="Arial" w:cs="Arial" w:eastAsia="Arial" w:hAnsi="Arial"/>
          <w:sz w:val="17"/>
          <w:szCs w:val="17"/>
          <w:color w:val="auto"/>
        </w:rPr>
        <w:t>By: /s/ Enrique Conterno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6350</wp:posOffset>
            </wp:positionV>
            <wp:extent cx="319722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3">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Enrique Conterno</w:t>
      </w:r>
    </w:p>
    <w:p>
      <w:pPr>
        <w:ind w:left="62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(Principal Executive Officer)</w:t>
      </w:r>
    </w:p>
    <w:p>
      <w:pPr>
        <w:spacing w:after="0" w:line="182" w:lineRule="exact"/>
        <w:rPr>
          <w:sz w:val="20"/>
          <w:szCs w:val="20"/>
          <w:color w:val="auto"/>
        </w:rPr>
      </w:pPr>
    </w:p>
    <w:p>
      <w:pPr>
        <w:ind w:left="20"/>
        <w:spacing w:after="0"/>
        <w:tabs>
          <w:tab w:leader="none" w:pos="5840" w:val="left"/>
        </w:tabs>
        <w:rPr>
          <w:sz w:val="20"/>
          <w:szCs w:val="20"/>
          <w:color w:val="auto"/>
        </w:rPr>
      </w:pPr>
      <w:r>
        <w:rPr>
          <w:rFonts w:ascii="Arial" w:cs="Arial" w:eastAsia="Arial" w:hAnsi="Arial"/>
          <w:sz w:val="18"/>
          <w:szCs w:val="18"/>
          <w:color w:val="auto"/>
        </w:rPr>
        <w:t>Dated: August 8, 2022</w:t>
      </w:r>
      <w:r>
        <w:rPr>
          <w:sz w:val="20"/>
          <w:szCs w:val="20"/>
          <w:color w:val="auto"/>
        </w:rPr>
        <w:tab/>
      </w:r>
      <w:r>
        <w:rPr>
          <w:rFonts w:ascii="Arial" w:cs="Arial" w:eastAsia="Arial" w:hAnsi="Arial"/>
          <w:sz w:val="16"/>
          <w:szCs w:val="16"/>
          <w:color w:val="auto"/>
        </w:rPr>
        <w:t>By: /s/ Juan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6350</wp:posOffset>
            </wp:positionV>
            <wp:extent cx="319722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Juan Graham</w:t>
      </w:r>
    </w:p>
    <w:p>
      <w:pPr>
        <w:ind w:left="622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Enrique Conterno, certify that:</w:t>
      </w:r>
    </w:p>
    <w:p>
      <w:pPr>
        <w:spacing w:after="0" w:line="104"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03" w:lineRule="exact"/>
        <w:rPr>
          <w:rFonts w:ascii="Arial" w:cs="Arial" w:eastAsia="Arial" w:hAnsi="Arial"/>
          <w:sz w:val="18"/>
          <w:szCs w:val="18"/>
          <w:color w:val="auto"/>
        </w:rPr>
      </w:pPr>
    </w:p>
    <w:p>
      <w:pPr>
        <w:ind w:right="260" w:firstLine="8"/>
        <w:spacing w:after="0" w:line="324" w:lineRule="auto"/>
        <w:tabs>
          <w:tab w:leader="none" w:pos="1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540" w:firstLine="8"/>
        <w:spacing w:after="0" w:line="291" w:lineRule="auto"/>
        <w:tabs>
          <w:tab w:leader="none" w:pos="1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40" w:firstLine="8"/>
        <w:spacing w:after="0" w:line="248" w:lineRule="auto"/>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260" w:firstLine="517"/>
        <w:spacing w:after="0" w:line="248" w:lineRule="auto"/>
        <w:tabs>
          <w:tab w:leader="none" w:pos="754"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40" w:firstLine="517"/>
        <w:spacing w:after="0" w:line="248" w:lineRule="auto"/>
        <w:tabs>
          <w:tab w:leader="none" w:pos="764"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800" w:firstLine="517"/>
        <w:spacing w:after="0" w:line="324" w:lineRule="auto"/>
        <w:tabs>
          <w:tab w:leader="none" w:pos="754"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jc w:val="both"/>
        <w:ind w:right="260" w:firstLine="517"/>
        <w:spacing w:after="0" w:line="248" w:lineRule="auto"/>
        <w:tabs>
          <w:tab w:leader="none" w:pos="764"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500" w:firstLine="8"/>
        <w:spacing w:after="0" w:line="291" w:lineRule="auto"/>
        <w:tabs>
          <w:tab w:leader="none" w:pos="1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80" w:firstLine="517"/>
        <w:spacing w:after="0" w:line="261" w:lineRule="auto"/>
        <w:tabs>
          <w:tab w:leader="none" w:pos="754"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40" w:firstLine="517"/>
        <w:spacing w:after="0" w:line="261" w:lineRule="auto"/>
        <w:tabs>
          <w:tab w:leader="none" w:pos="764"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6"/>
          <w:szCs w:val="16"/>
          <w:color w:val="auto"/>
        </w:rPr>
        <w:t>/s/ Enrique Conterno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80"/>
        <w:spacing w:after="0" w:line="232" w:lineRule="auto"/>
        <w:rPr>
          <w:sz w:val="20"/>
          <w:szCs w:val="20"/>
          <w:color w:val="auto"/>
        </w:rPr>
      </w:pPr>
      <w:r>
        <w:rPr>
          <w:rFonts w:ascii="Arial" w:cs="Arial" w:eastAsia="Arial" w:hAnsi="Arial"/>
          <w:sz w:val="18"/>
          <w:szCs w:val="18"/>
          <w:color w:val="auto"/>
        </w:rPr>
        <w:t>Enrique Conterno</w:t>
      </w:r>
    </w:p>
    <w:p>
      <w:pPr>
        <w:ind w:left="678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Juan Graham, certify that:</w:t>
      </w:r>
    </w:p>
    <w:p>
      <w:pPr>
        <w:spacing w:after="0" w:line="104"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03" w:lineRule="exact"/>
        <w:rPr>
          <w:rFonts w:ascii="Arial" w:cs="Arial" w:eastAsia="Arial" w:hAnsi="Arial"/>
          <w:sz w:val="18"/>
          <w:szCs w:val="18"/>
          <w:color w:val="auto"/>
        </w:rPr>
      </w:pPr>
    </w:p>
    <w:p>
      <w:pPr>
        <w:ind w:right="260" w:firstLine="8"/>
        <w:spacing w:after="0" w:line="324" w:lineRule="auto"/>
        <w:tabs>
          <w:tab w:leader="none" w:pos="1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540" w:firstLine="8"/>
        <w:spacing w:after="0" w:line="291" w:lineRule="auto"/>
        <w:tabs>
          <w:tab w:leader="none" w:pos="1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40" w:firstLine="8"/>
        <w:spacing w:after="0" w:line="248" w:lineRule="auto"/>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260" w:firstLine="517"/>
        <w:spacing w:after="0" w:line="248" w:lineRule="auto"/>
        <w:tabs>
          <w:tab w:leader="none" w:pos="754"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40" w:firstLine="517"/>
        <w:spacing w:after="0" w:line="248" w:lineRule="auto"/>
        <w:tabs>
          <w:tab w:leader="none" w:pos="764"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800" w:firstLine="517"/>
        <w:spacing w:after="0" w:line="324" w:lineRule="auto"/>
        <w:tabs>
          <w:tab w:leader="none" w:pos="754"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jc w:val="both"/>
        <w:ind w:right="260" w:firstLine="517"/>
        <w:spacing w:after="0" w:line="248" w:lineRule="auto"/>
        <w:tabs>
          <w:tab w:leader="none" w:pos="764"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500" w:firstLine="8"/>
        <w:spacing w:after="0" w:line="291" w:lineRule="auto"/>
        <w:tabs>
          <w:tab w:leader="none" w:pos="1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80" w:firstLine="517"/>
        <w:spacing w:after="0" w:line="261" w:lineRule="auto"/>
        <w:tabs>
          <w:tab w:leader="none" w:pos="754"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40" w:firstLine="517"/>
        <w:spacing w:after="0" w:line="261" w:lineRule="auto"/>
        <w:tabs>
          <w:tab w:leader="none" w:pos="764"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5"/>
          <w:szCs w:val="15"/>
          <w:color w:val="auto"/>
        </w:rPr>
        <w:t>/s/ Juan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9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Juan Graham</w:t>
      </w:r>
    </w:p>
    <w:p>
      <w:pPr>
        <w:ind w:left="6780"/>
        <w:spacing w:after="0" w:line="203" w:lineRule="auto"/>
        <w:rPr>
          <w:sz w:val="20"/>
          <w:szCs w:val="20"/>
          <w:color w:val="auto"/>
        </w:rPr>
      </w:pPr>
      <w:r>
        <w:rPr>
          <w:rFonts w:ascii="Arial" w:cs="Arial" w:eastAsia="Arial" w:hAnsi="Arial"/>
          <w:sz w:val="18"/>
          <w:szCs w:val="18"/>
          <w:color w:val="auto"/>
        </w:rPr>
        <w:t>Senior Vice President and Chief Financial Officer</w:t>
      </w:r>
    </w:p>
    <w:p>
      <w:pPr>
        <w:ind w:left="67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jc w:val="both"/>
        <w:ind w:right="260"/>
        <w:spacing w:after="0" w:line="270"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Enrique Conterno, Chief Executive Officer of FibroGen, Inc. (the "Company”), and Juan Graham, Chief Financial Officer of the Company, each hereby certifies that, to the best of his knowledge:</w:t>
      </w:r>
    </w:p>
    <w:p>
      <w:pPr>
        <w:spacing w:after="0" w:line="164" w:lineRule="exact"/>
        <w:rPr>
          <w:sz w:val="20"/>
          <w:szCs w:val="20"/>
          <w:color w:val="auto"/>
        </w:rPr>
      </w:pPr>
    </w:p>
    <w:p>
      <w:pPr>
        <w:ind w:left="520" w:right="440" w:hanging="512"/>
        <w:spacing w:after="0" w:line="291" w:lineRule="auto"/>
        <w:tabs>
          <w:tab w:leader="none" w:pos="5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2022, to which this Certification is attached as Exhibit 32.1 (the “Periodic Report”), fully complies with the requirements of Section 13(a) or Section 15(d) of the Exchange Act; and</w:t>
      </w:r>
    </w:p>
    <w:p>
      <w:pPr>
        <w:spacing w:after="0" w:line="38" w:lineRule="exact"/>
        <w:rPr>
          <w:rFonts w:ascii="Arial" w:cs="Arial" w:eastAsia="Arial" w:hAnsi="Arial"/>
          <w:sz w:val="17"/>
          <w:szCs w:val="17"/>
          <w:color w:val="auto"/>
        </w:rPr>
      </w:pPr>
    </w:p>
    <w:p>
      <w:pPr>
        <w:ind w:left="520" w:right="420" w:hanging="512"/>
        <w:spacing w:after="0" w:line="261"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2022</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8</w:t>
      </w:r>
      <w:r>
        <w:rPr>
          <w:rFonts w:ascii="Arial" w:cs="Arial" w:eastAsia="Arial" w:hAnsi="Arial"/>
          <w:sz w:val="24"/>
          <w:szCs w:val="24"/>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2022.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Enrique Conterno</w:t>
            </w:r>
          </w:p>
        </w:tc>
        <w:tc>
          <w:tcPr>
            <w:tcW w:w="1120" w:type="dxa"/>
            <w:vAlign w:val="bottom"/>
          </w:tcPr>
          <w:p>
            <w:pPr>
              <w:spacing w:after="0"/>
              <w:rPr>
                <w:sz w:val="18"/>
                <w:szCs w:val="18"/>
                <w:color w:val="auto"/>
              </w:rPr>
            </w:pP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Graham</w:t>
            </w:r>
          </w:p>
        </w:tc>
      </w:tr>
      <w:tr>
        <w:trPr>
          <w:trHeight w:val="182"/>
        </w:trPr>
        <w:tc>
          <w:tcPr>
            <w:tcW w:w="5080" w:type="dxa"/>
            <w:vAlign w:val="bottom"/>
          </w:tcPr>
          <w:p>
            <w:pPr>
              <w:ind w:left="20"/>
              <w:spacing w:after="0" w:line="182" w:lineRule="exact"/>
              <w:rPr>
                <w:sz w:val="20"/>
                <w:szCs w:val="20"/>
                <w:color w:val="auto"/>
              </w:rPr>
            </w:pPr>
            <w:r>
              <w:rPr>
                <w:rFonts w:ascii="Arial" w:cs="Arial" w:eastAsia="Arial" w:hAnsi="Arial"/>
                <w:sz w:val="18"/>
                <w:szCs w:val="18"/>
                <w:color w:val="auto"/>
              </w:rPr>
              <w:t>Enrique Conterno</w:t>
            </w:r>
          </w:p>
        </w:tc>
        <w:tc>
          <w:tcPr>
            <w:tcW w:w="1120" w:type="dxa"/>
            <w:vAlign w:val="bottom"/>
          </w:tcPr>
          <w:p>
            <w:pPr>
              <w:spacing w:after="0"/>
              <w:rPr>
                <w:sz w:val="15"/>
                <w:szCs w:val="15"/>
                <w:color w:val="auto"/>
              </w:rPr>
            </w:pPr>
          </w:p>
        </w:tc>
        <w:tc>
          <w:tcPr>
            <w:tcW w:w="5040" w:type="dxa"/>
            <w:vAlign w:val="bottom"/>
          </w:tcPr>
          <w:p>
            <w:pPr>
              <w:spacing w:after="0" w:line="182" w:lineRule="exact"/>
              <w:rPr>
                <w:sz w:val="20"/>
                <w:szCs w:val="20"/>
                <w:color w:val="auto"/>
              </w:rPr>
            </w:pPr>
            <w:r>
              <w:rPr>
                <w:rFonts w:ascii="Arial" w:cs="Arial" w:eastAsia="Arial" w:hAnsi="Arial"/>
                <w:sz w:val="18"/>
                <w:szCs w:val="18"/>
                <w:color w:val="auto"/>
              </w:rPr>
              <w:t>Juan Graham</w:t>
            </w:r>
          </w:p>
        </w:tc>
      </w:tr>
      <w:tr>
        <w:trPr>
          <w:trHeight w:val="176"/>
        </w:trPr>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w:t>
            </w:r>
          </w:p>
        </w:tc>
        <w:tc>
          <w:tcPr>
            <w:tcW w:w="1120" w:type="dxa"/>
            <w:vAlign w:val="bottom"/>
          </w:tcPr>
          <w:p>
            <w:pPr>
              <w:spacing w:after="0"/>
              <w:rPr>
                <w:sz w:val="15"/>
                <w:szCs w:val="15"/>
                <w:color w:val="auto"/>
              </w:rPr>
            </w:pPr>
          </w:p>
        </w:tc>
        <w:tc>
          <w:tcPr>
            <w:tcW w:w="5040" w:type="dxa"/>
            <w:vAlign w:val="bottom"/>
          </w:tcPr>
          <w:p>
            <w:pPr>
              <w:spacing w:after="0" w:line="176" w:lineRule="exact"/>
              <w:rPr>
                <w:sz w:val="20"/>
                <w:szCs w:val="20"/>
                <w:color w:val="auto"/>
              </w:rPr>
            </w:pPr>
            <w:r>
              <w:rPr>
                <w:rFonts w:ascii="Arial" w:cs="Arial" w:eastAsia="Arial" w:hAnsi="Arial"/>
                <w:sz w:val="18"/>
                <w:szCs w:val="18"/>
                <w:color w:val="auto"/>
              </w:rPr>
              <w:t>Senior Vice President and</w:t>
            </w:r>
          </w:p>
        </w:tc>
      </w:tr>
      <w:tr>
        <w:trPr>
          <w:trHeight w:val="230"/>
        </w:trPr>
        <w:tc>
          <w:tcPr>
            <w:tcW w:w="5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87" w:lineRule="exact"/>
        <w:rPr>
          <w:sz w:val="20"/>
          <w:szCs w:val="20"/>
          <w:color w:val="auto"/>
        </w:rPr>
      </w:pPr>
    </w:p>
    <w:p>
      <w:pPr>
        <w:jc w:val="both"/>
        <w:ind w:right="560"/>
        <w:spacing w:after="0" w:line="294"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decimal"/>
      <w:start w:val="2"/>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1."/>
      <w:numFmt w:val="decimal"/>
      <w:start w:val="3"/>
    </w:lvl>
  </w:abstractNum>
  <w:abstractNum w:abstractNumId="7">
    <w:nsid w:val="5C482A97"/>
    <w:multiLevelType w:val="hybridMultilevel"/>
    <w:lvl w:ilvl="0">
      <w:lvlJc w:val="left"/>
      <w:lvlText w:val="%1."/>
      <w:numFmt w:val="decimal"/>
      <w:start w:val="4"/>
    </w:lvl>
  </w:abstractNum>
  <w:abstractNum w:abstractNumId="8">
    <w:nsid w:val="2463B9EA"/>
    <w:multiLevelType w:val="hybridMultilevel"/>
    <w:lvl w:ilvl="0">
      <w:lvlJc w:val="left"/>
      <w:lvlText w:val="%1."/>
      <w:numFmt w:val="decimal"/>
      <w:start w:val="5"/>
    </w:lvl>
  </w:abstractNum>
  <w:abstractNum w:abstractNumId="9">
    <w:nsid w:val="5E884ADC"/>
    <w:multiLevelType w:val="hybridMultilevel"/>
    <w:lvl w:ilvl="0">
      <w:lvlJc w:val="left"/>
      <w:lvlText w:val="%1."/>
      <w:numFmt w:val="decimal"/>
      <w:start w:val="6"/>
    </w:lvl>
  </w:abstractNum>
  <w:abstractNum w:abstractNumId="10">
    <w:nsid w:val="51EAD36B"/>
    <w:multiLevelType w:val="hybridMultilevel"/>
    <w:lvl w:ilvl="0">
      <w:lvlJc w:val="left"/>
      <w:lvlText w:val="%1."/>
      <w:numFmt w:val="decimal"/>
      <w:start w:val="7"/>
    </w:lvl>
  </w:abstractNum>
  <w:abstractNum w:abstractNumId="11">
    <w:nsid w:val="2D517796"/>
    <w:multiLevelType w:val="hybridMultilevel"/>
    <w:lvl w:ilvl="0">
      <w:lvlJc w:val="left"/>
      <w:lvlText w:val="%1."/>
      <w:numFmt w:val="decimal"/>
      <w:start w:val="8"/>
    </w:lvl>
  </w:abstractNum>
  <w:abstractNum w:abstractNumId="12">
    <w:nsid w:val="580BD78F"/>
    <w:multiLevelType w:val="hybridMultilevel"/>
    <w:lvl w:ilvl="0">
      <w:lvlJc w:val="left"/>
      <w:lvlText w:val="%1."/>
      <w:numFmt w:val="decimal"/>
      <w:start w:val="9"/>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20" Type="http://schemas.openxmlformats.org/officeDocument/2006/relationships/image" Target="media/image509.png"/><Relationship Id="rId521" Type="http://schemas.openxmlformats.org/officeDocument/2006/relationships/image" Target="media/image510.png"/><Relationship Id="rId522" Type="http://schemas.openxmlformats.org/officeDocument/2006/relationships/image" Target="media/image511.png"/><Relationship Id="rId523" Type="http://schemas.openxmlformats.org/officeDocument/2006/relationships/image" Target="media/image512.png"/><Relationship Id="rId524" Type="http://schemas.openxmlformats.org/officeDocument/2006/relationships/image" Target="media/image513.png"/><Relationship Id="rId525" Type="http://schemas.openxmlformats.org/officeDocument/2006/relationships/image" Target="media/image514.png"/><Relationship Id="rId526" Type="http://schemas.openxmlformats.org/officeDocument/2006/relationships/image" Target="media/image515.png"/><Relationship Id="rId527" Type="http://schemas.openxmlformats.org/officeDocument/2006/relationships/image" Target="media/image516.png"/><Relationship Id="rId528" Type="http://schemas.openxmlformats.org/officeDocument/2006/relationships/image" Target="media/image517.png"/><Relationship Id="rId529" Type="http://schemas.openxmlformats.org/officeDocument/2006/relationships/image" Target="media/image518.png"/><Relationship Id="rId530" Type="http://schemas.openxmlformats.org/officeDocument/2006/relationships/image" Target="media/image519.png"/><Relationship Id="rId516" Type="http://schemas.openxmlformats.org/officeDocument/2006/relationships/hyperlink" Target="https://www.sec.gov/Archives/edgar/data/921299/000119312514420380/d824859dex31.htm" TargetMode="External"/><Relationship Id="rId517" Type="http://schemas.openxmlformats.org/officeDocument/2006/relationships/hyperlink" Target="https://www.sec.gov/Archives/edgar/data/921299/000119312514380087/d720189dex34.htm" TargetMode="External"/><Relationship Id="rId518" Type="http://schemas.openxmlformats.org/officeDocument/2006/relationships/hyperlink" Target="https://www.sec.gov/Archives/edgar/data/921299/000119312514420380/d824859dex41.htm" TargetMode="External"/><Relationship Id="rId519" Type="http://schemas.openxmlformats.org/officeDocument/2006/relationships/hyperlink" Target="https://www.sec.gov/Archives/edgar/data/0000921299/000119312514381669/d720189dex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2022-08-09T02:16:32Z</dcterms:created>
  <dcterms:modified xsi:type="dcterms:W3CDTF">2022-08-09T02:16:32Z</dcterms:modified>
</cp:coreProperties>
</file>