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1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 w:lineRule="exact"/>
        <w:rPr>
          <w:sz w:val="24"/>
          <w:szCs w:val="24"/>
          <w:color w:val="auto"/>
        </w:rPr>
      </w:pPr>
    </w:p>
    <w:p>
      <w:pPr>
        <w:ind w:left="520" w:right="28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20" w:right="26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For the transition period from</w:t>
            </w:r>
          </w:p>
        </w:tc>
        <w:tc>
          <w:tcPr>
            <w:tcW w:w="640" w:type="dxa"/>
            <w:vAlign w:val="bottom"/>
            <w:tcBorders>
              <w:bottom w:val="single" w:sz="8" w:color="auto"/>
            </w:tcBorders>
          </w:tcPr>
          <w:p>
            <w:pPr>
              <w:spacing w:after="0"/>
              <w:rPr>
                <w:sz w:val="17"/>
                <w:szCs w:val="17"/>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b w:val="1"/>
                <w:bCs w:val="1"/>
                <w:color w:val="auto"/>
              </w:rPr>
              <w:t>to</w:t>
            </w:r>
          </w:p>
        </w:tc>
        <w:tc>
          <w:tcPr>
            <w:tcW w:w="720" w:type="dxa"/>
            <w:vAlign w:val="bottom"/>
            <w:tcBorders>
              <w:bottom w:val="single" w:sz="8" w:color="auto"/>
            </w:tcBorders>
          </w:tcPr>
          <w:p>
            <w:pPr>
              <w:spacing w:after="0"/>
              <w:rPr>
                <w:sz w:val="17"/>
                <w:szCs w:val="17"/>
                <w:color w:val="auto"/>
              </w:rPr>
            </w:pPr>
          </w:p>
        </w:tc>
        <w:tc>
          <w:tcPr>
            <w:tcW w:w="3280" w:type="dxa"/>
            <w:vAlign w:val="bottom"/>
            <w:gridSpan w:val="2"/>
          </w:tcPr>
          <w:p>
            <w:pPr>
              <w:spacing w:after="0"/>
              <w:rPr>
                <w:sz w:val="17"/>
                <w:szCs w:val="17"/>
                <w:color w:val="auto"/>
              </w:rPr>
            </w:pPr>
          </w:p>
        </w:tc>
      </w:tr>
      <w:tr>
        <w:trPr>
          <w:trHeight w:val="345"/>
        </w:trPr>
        <w:tc>
          <w:tcPr>
            <w:tcW w:w="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80" w:type="dxa"/>
            <w:vAlign w:val="bottom"/>
            <w:gridSpan w:val="8"/>
          </w:tcPr>
          <w:p>
            <w:pPr>
              <w:jc w:val="center"/>
              <w:ind w:right="3379"/>
              <w:spacing w:after="0"/>
              <w:rPr>
                <w:sz w:val="20"/>
                <w:szCs w:val="20"/>
                <w:color w:val="auto"/>
              </w:rPr>
            </w:pPr>
            <w:r>
              <w:rPr>
                <w:rFonts w:ascii="Arial" w:cs="Arial" w:eastAsia="Arial" w:hAnsi="Arial"/>
                <w:sz w:val="18"/>
                <w:szCs w:val="18"/>
                <w:b w:val="1"/>
                <w:bCs w:val="1"/>
                <w:color w:val="auto"/>
                <w:w w:val="90"/>
              </w:rPr>
              <w:t>Commission file number: 001-36740</w:t>
            </w:r>
          </w:p>
        </w:tc>
      </w:tr>
      <w:tr>
        <w:trPr>
          <w:trHeight w:val="81"/>
        </w:trPr>
        <w:tc>
          <w:tcPr>
            <w:tcW w:w="1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gridSpan w:val="2"/>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0" w:type="dxa"/>
            <w:vAlign w:val="bottom"/>
          </w:tcPr>
          <w:p>
            <w:pPr>
              <w:spacing w:after="0"/>
              <w:rPr>
                <w:sz w:val="7"/>
                <w:szCs w:val="7"/>
                <w:color w:val="auto"/>
              </w:rPr>
            </w:pPr>
          </w:p>
        </w:tc>
      </w:tr>
      <w:tr>
        <w:trPr>
          <w:trHeight w:val="583"/>
        </w:trPr>
        <w:tc>
          <w:tcPr>
            <w:tcW w:w="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80" w:type="dxa"/>
            <w:vAlign w:val="bottom"/>
            <w:gridSpan w:val="8"/>
          </w:tcPr>
          <w:p>
            <w:pPr>
              <w:jc w:val="center"/>
              <w:ind w:right="3379"/>
              <w:spacing w:after="0"/>
              <w:rPr>
                <w:sz w:val="20"/>
                <w:szCs w:val="20"/>
                <w:color w:val="auto"/>
              </w:rPr>
            </w:pPr>
            <w:r>
              <w:rPr>
                <w:rFonts w:ascii="Arial" w:cs="Arial" w:eastAsia="Arial" w:hAnsi="Arial"/>
                <w:sz w:val="43"/>
                <w:szCs w:val="43"/>
                <w:b w:val="1"/>
                <w:bCs w:val="1"/>
                <w:color w:val="auto"/>
              </w:rPr>
              <w:t>FIBROGEN, INC.</w:t>
            </w:r>
          </w:p>
        </w:tc>
      </w:tr>
      <w:tr>
        <w:trPr>
          <w:trHeight w:val="234"/>
        </w:trPr>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360" w:type="dxa"/>
            <w:vAlign w:val="bottom"/>
            <w:gridSpan w:val="9"/>
          </w:tcPr>
          <w:p>
            <w:pPr>
              <w:jc w:val="center"/>
              <w:ind w:right="3099"/>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95"/>
        </w:trPr>
        <w:tc>
          <w:tcPr>
            <w:tcW w:w="1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308"/>
        </w:trPr>
        <w:tc>
          <w:tcPr>
            <w:tcW w:w="100" w:type="dxa"/>
            <w:vAlign w:val="bottom"/>
          </w:tcPr>
          <w:p>
            <w:pPr>
              <w:spacing w:after="0"/>
              <w:rPr>
                <w:sz w:val="24"/>
                <w:szCs w:val="24"/>
                <w:color w:val="auto"/>
              </w:rPr>
            </w:pPr>
          </w:p>
        </w:tc>
        <w:tc>
          <w:tcPr>
            <w:tcW w:w="3000" w:type="dxa"/>
            <w:vAlign w:val="bottom"/>
          </w:tcPr>
          <w:p>
            <w:pPr>
              <w:jc w:val="center"/>
              <w:ind w:left="1297"/>
              <w:spacing w:after="0"/>
              <w:rPr>
                <w:sz w:val="20"/>
                <w:szCs w:val="20"/>
                <w:color w:val="auto"/>
              </w:rPr>
            </w:pPr>
            <w:r>
              <w:rPr>
                <w:rFonts w:ascii="Arial" w:cs="Arial" w:eastAsia="Arial" w:hAnsi="Arial"/>
                <w:sz w:val="18"/>
                <w:szCs w:val="18"/>
                <w:b w:val="1"/>
                <w:bCs w:val="1"/>
                <w:color w:val="auto"/>
                <w:w w:val="93"/>
              </w:rPr>
              <w:t>Delaware</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40" w:type="dxa"/>
            <w:vAlign w:val="bottom"/>
            <w:gridSpan w:val="5"/>
          </w:tcPr>
          <w:p>
            <w:pPr>
              <w:jc w:val="right"/>
              <w:ind w:right="1839"/>
              <w:spacing w:after="0"/>
              <w:rPr>
                <w:sz w:val="20"/>
                <w:szCs w:val="20"/>
                <w:color w:val="auto"/>
              </w:rPr>
            </w:pPr>
            <w:r>
              <w:rPr>
                <w:rFonts w:ascii="Arial" w:cs="Arial" w:eastAsia="Arial" w:hAnsi="Arial"/>
                <w:sz w:val="18"/>
                <w:szCs w:val="18"/>
                <w:b w:val="1"/>
                <w:bCs w:val="1"/>
                <w:color w:val="auto"/>
              </w:rPr>
              <w:t>77-0357827</w:t>
            </w:r>
          </w:p>
        </w:tc>
      </w:tr>
      <w:tr>
        <w:trPr>
          <w:trHeight w:val="149"/>
        </w:trPr>
        <w:tc>
          <w:tcPr>
            <w:tcW w:w="100" w:type="dxa"/>
            <w:vAlign w:val="bottom"/>
          </w:tcPr>
          <w:p>
            <w:pPr>
              <w:spacing w:after="0"/>
              <w:rPr>
                <w:sz w:val="12"/>
                <w:szCs w:val="12"/>
                <w:color w:val="auto"/>
              </w:rPr>
            </w:pPr>
          </w:p>
        </w:tc>
        <w:tc>
          <w:tcPr>
            <w:tcW w:w="6120" w:type="dxa"/>
            <w:vAlign w:val="bottom"/>
            <w:gridSpan w:val="5"/>
          </w:tcPr>
          <w:p>
            <w:pPr>
              <w:jc w:val="center"/>
              <w:ind w:right="17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0" w:type="dxa"/>
            <w:vAlign w:val="bottom"/>
          </w:tcPr>
          <w:p>
            <w:pPr>
              <w:jc w:val="center"/>
              <w:ind w:right="143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00" w:type="dxa"/>
            <w:vAlign w:val="bottom"/>
          </w:tcPr>
          <w:p>
            <w:pPr>
              <w:spacing w:after="0"/>
              <w:rPr>
                <w:sz w:val="16"/>
                <w:szCs w:val="16"/>
                <w:color w:val="auto"/>
              </w:rPr>
            </w:pPr>
          </w:p>
        </w:tc>
        <w:tc>
          <w:tcPr>
            <w:tcW w:w="6120" w:type="dxa"/>
            <w:vAlign w:val="bottom"/>
            <w:gridSpan w:val="5"/>
          </w:tcPr>
          <w:p>
            <w:pPr>
              <w:jc w:val="center"/>
              <w:ind w:right="1740"/>
              <w:spacing w:after="0"/>
              <w:rPr>
                <w:sz w:val="20"/>
                <w:szCs w:val="20"/>
                <w:color w:val="auto"/>
              </w:rPr>
            </w:pPr>
            <w:r>
              <w:rPr>
                <w:rFonts w:ascii="Arial" w:cs="Arial" w:eastAsia="Arial" w:hAnsi="Arial"/>
                <w:sz w:val="14"/>
                <w:szCs w:val="14"/>
                <w:b w:val="1"/>
                <w:bCs w:val="1"/>
                <w:color w:val="auto"/>
                <w:w w:val="95"/>
              </w:rPr>
              <w:t>Incorporation or Organization)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0" w:type="dxa"/>
            <w:vAlign w:val="bottom"/>
          </w:tcPr>
          <w:p>
            <w:pPr>
              <w:jc w:val="center"/>
              <w:ind w:right="1439"/>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100" w:type="dxa"/>
            <w:vAlign w:val="bottom"/>
          </w:tcPr>
          <w:p>
            <w:pPr>
              <w:spacing w:after="0"/>
              <w:rPr>
                <w:sz w:val="24"/>
                <w:szCs w:val="24"/>
                <w:color w:val="auto"/>
              </w:rPr>
            </w:pPr>
          </w:p>
        </w:tc>
        <w:tc>
          <w:tcPr>
            <w:tcW w:w="3000" w:type="dxa"/>
            <w:vAlign w:val="bottom"/>
          </w:tcPr>
          <w:p>
            <w:pPr>
              <w:jc w:val="center"/>
              <w:ind w:left="1297"/>
              <w:spacing w:after="0"/>
              <w:rPr>
                <w:sz w:val="20"/>
                <w:szCs w:val="20"/>
                <w:color w:val="auto"/>
              </w:rPr>
            </w:pPr>
            <w:r>
              <w:rPr>
                <w:rFonts w:ascii="Arial" w:cs="Arial" w:eastAsia="Arial" w:hAnsi="Arial"/>
                <w:sz w:val="18"/>
                <w:szCs w:val="18"/>
                <w:b w:val="1"/>
                <w:bCs w:val="1"/>
                <w:color w:val="auto"/>
                <w:w w:val="90"/>
              </w:rPr>
              <w:t>409 Illinois Street</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3000" w:type="dxa"/>
            <w:vAlign w:val="bottom"/>
          </w:tcPr>
          <w:p>
            <w:pPr>
              <w:jc w:val="center"/>
              <w:ind w:left="1297"/>
              <w:spacing w:after="0"/>
              <w:rPr>
                <w:sz w:val="20"/>
                <w:szCs w:val="20"/>
                <w:color w:val="auto"/>
              </w:rPr>
            </w:pPr>
            <w:r>
              <w:rPr>
                <w:rFonts w:ascii="Arial" w:cs="Arial" w:eastAsia="Arial" w:hAnsi="Arial"/>
                <w:sz w:val="18"/>
                <w:szCs w:val="18"/>
                <w:b w:val="1"/>
                <w:bCs w:val="1"/>
                <w:color w:val="auto"/>
                <w:w w:val="89"/>
              </w:rPr>
              <w:t>San Francisco, CA</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40" w:type="dxa"/>
            <w:vAlign w:val="bottom"/>
            <w:gridSpan w:val="5"/>
          </w:tcPr>
          <w:p>
            <w:pPr>
              <w:jc w:val="right"/>
              <w:ind w:right="2059"/>
              <w:spacing w:after="0"/>
              <w:rPr>
                <w:sz w:val="20"/>
                <w:szCs w:val="20"/>
                <w:color w:val="auto"/>
              </w:rPr>
            </w:pPr>
            <w:r>
              <w:rPr>
                <w:rFonts w:ascii="Arial" w:cs="Arial" w:eastAsia="Arial" w:hAnsi="Arial"/>
                <w:sz w:val="18"/>
                <w:szCs w:val="18"/>
                <w:b w:val="1"/>
                <w:bCs w:val="1"/>
                <w:color w:val="auto"/>
              </w:rPr>
              <w:t>94158</w:t>
            </w:r>
          </w:p>
        </w:tc>
      </w:tr>
      <w:tr>
        <w:trPr>
          <w:trHeight w:val="186"/>
        </w:trPr>
        <w:tc>
          <w:tcPr>
            <w:tcW w:w="100" w:type="dxa"/>
            <w:vAlign w:val="bottom"/>
          </w:tcPr>
          <w:p>
            <w:pPr>
              <w:spacing w:after="0"/>
              <w:rPr>
                <w:sz w:val="16"/>
                <w:szCs w:val="16"/>
                <w:color w:val="auto"/>
              </w:rPr>
            </w:pPr>
          </w:p>
        </w:tc>
        <w:tc>
          <w:tcPr>
            <w:tcW w:w="6120" w:type="dxa"/>
            <w:vAlign w:val="bottom"/>
            <w:gridSpan w:val="5"/>
          </w:tcPr>
          <w:p>
            <w:pPr>
              <w:jc w:val="center"/>
              <w:ind w:right="174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0" w:type="dxa"/>
            <w:vAlign w:val="bottom"/>
          </w:tcPr>
          <w:p>
            <w:pPr>
              <w:jc w:val="center"/>
              <w:ind w:right="1419"/>
              <w:spacing w:after="0"/>
              <w:rPr>
                <w:sz w:val="20"/>
                <w:szCs w:val="20"/>
                <w:color w:val="auto"/>
              </w:rPr>
            </w:pPr>
            <w:r>
              <w:rPr>
                <w:rFonts w:ascii="Arial" w:cs="Arial" w:eastAsia="Arial" w:hAnsi="Arial"/>
                <w:sz w:val="14"/>
                <w:szCs w:val="14"/>
                <w:b w:val="1"/>
                <w:bCs w:val="1"/>
                <w:color w:val="auto"/>
                <w:w w:val="95"/>
              </w:rPr>
              <w:t>(Zip Code)</w:t>
            </w:r>
          </w:p>
        </w:tc>
      </w:tr>
      <w:tr>
        <w:trPr>
          <w:trHeight w:val="232"/>
        </w:trPr>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120" w:type="dxa"/>
            <w:vAlign w:val="bottom"/>
            <w:gridSpan w:val="4"/>
          </w:tcPr>
          <w:p>
            <w:pPr>
              <w:jc w:val="center"/>
              <w:ind w:left="990"/>
              <w:spacing w:after="0"/>
              <w:rPr>
                <w:sz w:val="20"/>
                <w:szCs w:val="20"/>
                <w:color w:val="auto"/>
              </w:rPr>
            </w:pPr>
            <w:r>
              <w:rPr>
                <w:rFonts w:ascii="Arial" w:cs="Arial" w:eastAsia="Arial" w:hAnsi="Arial"/>
                <w:sz w:val="18"/>
                <w:szCs w:val="18"/>
                <w:b w:val="1"/>
                <w:bCs w:val="1"/>
                <w:color w:val="auto"/>
                <w:w w:val="90"/>
              </w:rPr>
              <w:t>(415) 978-1200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186"/>
        </w:trPr>
        <w:tc>
          <w:tcPr>
            <w:tcW w:w="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80" w:type="dxa"/>
            <w:vAlign w:val="bottom"/>
            <w:gridSpan w:val="8"/>
          </w:tcPr>
          <w:p>
            <w:pPr>
              <w:jc w:val="center"/>
              <w:ind w:right="335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66"/>
        </w:trPr>
        <w:tc>
          <w:tcPr>
            <w:tcW w:w="100" w:type="dxa"/>
            <w:vAlign w:val="bottom"/>
          </w:tcPr>
          <w:p>
            <w:pPr>
              <w:spacing w:after="0"/>
              <w:rPr>
                <w:sz w:val="5"/>
                <w:szCs w:val="5"/>
                <w:color w:val="auto"/>
              </w:rPr>
            </w:pPr>
          </w:p>
        </w:tc>
        <w:tc>
          <w:tcPr>
            <w:tcW w:w="3280" w:type="dxa"/>
            <w:vAlign w:val="bottom"/>
            <w:gridSpan w:val="2"/>
          </w:tcPr>
          <w:p>
            <w:pPr>
              <w:spacing w:after="0"/>
              <w:rPr>
                <w:sz w:val="5"/>
                <w:szCs w:val="5"/>
                <w:color w:val="auto"/>
              </w:rPr>
            </w:pPr>
          </w:p>
        </w:tc>
        <w:tc>
          <w:tcPr>
            <w:tcW w:w="680" w:type="dxa"/>
            <w:vAlign w:val="bottom"/>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0" w:type="dxa"/>
            <w:vAlign w:val="bottom"/>
          </w:tcPr>
          <w:p>
            <w:pPr>
              <w:spacing w:after="0"/>
              <w:rPr>
                <w:sz w:val="5"/>
                <w:szCs w:val="5"/>
                <w:color w:val="auto"/>
              </w:rPr>
            </w:pPr>
          </w:p>
        </w:tc>
      </w:tr>
      <w:tr>
        <w:trPr>
          <w:trHeight w:val="264"/>
        </w:trPr>
        <w:tc>
          <w:tcPr>
            <w:tcW w:w="6220" w:type="dxa"/>
            <w:vAlign w:val="bottom"/>
            <w:gridSpan w:val="6"/>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81"/>
        </w:trPr>
        <w:tc>
          <w:tcPr>
            <w:tcW w:w="100" w:type="dxa"/>
            <w:vAlign w:val="bottom"/>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0" w:type="dxa"/>
            <w:vAlign w:val="bottom"/>
            <w:tcBorders>
              <w:bottom w:val="single" w:sz="8" w:color="auto"/>
            </w:tcBorders>
          </w:tcPr>
          <w:p>
            <w:pPr>
              <w:spacing w:after="0"/>
              <w:rPr>
                <w:sz w:val="7"/>
                <w:szCs w:val="7"/>
                <w:color w:val="auto"/>
              </w:rPr>
            </w:pPr>
          </w:p>
        </w:tc>
      </w:tr>
      <w:tr>
        <w:trPr>
          <w:trHeight w:val="191"/>
        </w:trPr>
        <w:tc>
          <w:tcPr>
            <w:tcW w:w="100" w:type="dxa"/>
            <w:vAlign w:val="bottom"/>
            <w:tcBorders>
              <w:right w:val="single" w:sz="8" w:color="auto"/>
            </w:tcBorders>
          </w:tcPr>
          <w:p>
            <w:pPr>
              <w:spacing w:after="0"/>
              <w:rPr>
                <w:sz w:val="16"/>
                <w:szCs w:val="16"/>
                <w:color w:val="auto"/>
              </w:rPr>
            </w:pPr>
          </w:p>
        </w:tc>
        <w:tc>
          <w:tcPr>
            <w:tcW w:w="3000" w:type="dxa"/>
            <w:vAlign w:val="bottom"/>
          </w:tcPr>
          <w:p>
            <w:pPr>
              <w:ind w:left="940"/>
              <w:spacing w:after="0" w:line="191" w:lineRule="exact"/>
              <w:rPr>
                <w:sz w:val="20"/>
                <w:szCs w:val="20"/>
                <w:color w:val="auto"/>
              </w:rPr>
            </w:pPr>
            <w:r>
              <w:rPr>
                <w:rFonts w:ascii="Arial" w:cs="Arial" w:eastAsia="Arial" w:hAnsi="Arial"/>
                <w:sz w:val="18"/>
                <w:szCs w:val="18"/>
                <w:b w:val="1"/>
                <w:bCs w:val="1"/>
                <w:color w:val="auto"/>
              </w:rPr>
              <w:t>Title of each class</w:t>
            </w:r>
          </w:p>
        </w:tc>
        <w:tc>
          <w:tcPr>
            <w:tcW w:w="280" w:type="dxa"/>
            <w:vAlign w:val="bottom"/>
            <w:tcBorders>
              <w:righ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2160" w:type="dxa"/>
            <w:vAlign w:val="bottom"/>
            <w:gridSpan w:val="2"/>
          </w:tcPr>
          <w:p>
            <w:pPr>
              <w:ind w:left="620"/>
              <w:spacing w:after="0" w:line="191" w:lineRule="exact"/>
              <w:rPr>
                <w:sz w:val="20"/>
                <w:szCs w:val="20"/>
                <w:color w:val="auto"/>
              </w:rPr>
            </w:pPr>
            <w:r>
              <w:rPr>
                <w:rFonts w:ascii="Arial" w:cs="Arial" w:eastAsia="Arial" w:hAnsi="Arial"/>
                <w:sz w:val="18"/>
                <w:szCs w:val="18"/>
                <w:b w:val="1"/>
                <w:bCs w:val="1"/>
                <w:color w:val="auto"/>
              </w:rPr>
              <w:t>Trading Symbol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100" w:type="dxa"/>
            <w:vAlign w:val="bottom"/>
            <w:tcBorders>
              <w:right w:val="single" w:sz="8" w:color="auto"/>
            </w:tcBorders>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10"/>
        </w:trPr>
        <w:tc>
          <w:tcPr>
            <w:tcW w:w="100" w:type="dxa"/>
            <w:vAlign w:val="bottom"/>
            <w:tcBorders>
              <w:right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$0.01 par value</w:t>
            </w:r>
          </w:p>
        </w:tc>
        <w:tc>
          <w:tcPr>
            <w:tcW w:w="2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FGEN</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53" w:lineRule="exact"/>
        <w:rPr>
          <w:sz w:val="24"/>
          <w:szCs w:val="24"/>
          <w:color w:val="auto"/>
        </w:rPr>
      </w:pPr>
    </w:p>
    <w:p>
      <w:pPr>
        <w:jc w:val="both"/>
        <w:ind w:right="120" w:firstLine="571"/>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40" w:firstLine="57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20" w:firstLine="57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94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440" w:type="dxa"/>
            <w:vAlign w:val="bottom"/>
          </w:tcPr>
          <w:p>
            <w:pPr>
              <w:ind w:left="220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27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440" w:type="dxa"/>
            <w:vAlign w:val="bottom"/>
          </w:tcPr>
          <w:p>
            <w:pPr>
              <w:ind w:left="220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440" w:type="dxa"/>
            <w:vAlign w:val="bottom"/>
          </w:tcPr>
          <w:p>
            <w:pPr>
              <w:ind w:left="220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firstLine="57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80" w:right="1660"/>
        <w:spacing w:after="0" w:line="273" w:lineRule="exact"/>
        <w:rPr>
          <w:sz w:val="20"/>
          <w:szCs w:val="20"/>
          <w:color w:val="auto"/>
        </w:rPr>
      </w:pPr>
      <w:r>
        <w:rPr>
          <w:rFonts w:ascii="Arial" w:cs="Arial" w:eastAsia="Arial" w:hAnsi="Arial"/>
          <w:sz w:val="18"/>
          <w:szCs w:val="18"/>
          <w:color w:val="auto"/>
        </w:rPr>
        <w:t xml:space="preserve">Indicate by check mark whether the registrant is a shell company (as defined in Exchange Act Rule 12b-2).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common stock outstanding as of October 31, 2019 was 87,250,064.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425450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422"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60" w:type="dxa"/>
            <w:vAlign w:val="bottom"/>
            <w:gridSpan w:val="7"/>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3960" w:type="dxa"/>
            <w:vAlign w:val="bottom"/>
            <w:gridSpan w:val="7"/>
            <w:vMerge w:val="restart"/>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60" w:type="dxa"/>
            <w:vAlign w:val="bottom"/>
            <w:tcBorders>
              <w:bottom w:val="single" w:sz="8" w:color="0000EE"/>
            </w:tcBorders>
            <w:gridSpan w:val="7"/>
            <w:vMerge w:val="continue"/>
          </w:tcPr>
          <w:p>
            <w:pPr>
              <w:spacing w:after="0"/>
              <w:rPr>
                <w:sz w:val="14"/>
                <w:szCs w:val="14"/>
                <w:color w:val="auto"/>
              </w:rPr>
            </w:pPr>
          </w:p>
        </w:tc>
        <w:tc>
          <w:tcPr>
            <w:tcW w:w="3960" w:type="dxa"/>
            <w:vAlign w:val="bottom"/>
            <w:gridSpan w:val="7"/>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006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75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2019 and December 31, 2018 (Unaudited)</w:t>
              </w:r>
            </w:hyperlink>
          </w:p>
        </w:tc>
        <w:tc>
          <w:tcPr>
            <w:tcW w:w="256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4"/>
          </w:tcPr>
          <w:p>
            <w:pPr>
              <w:spacing w:after="0" w:line="19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Operations for the Three and Nine Months Ended September 30, 2019 and 2018 (Unaudited)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6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 for the Three and Nine Months Ended September 30, 2019 and</w:t>
              </w:r>
            </w:hyperlink>
          </w:p>
        </w:tc>
        <w:tc>
          <w:tcPr>
            <w:tcW w:w="38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40" w:type="dxa"/>
            <w:vAlign w:val="bottom"/>
            <w:gridSpan w:val="2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2018 (Unaudited)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4"/>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Changes in Stockholders' Equity for the Three and Nine Months Ended September 30, 2019 and</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5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2018 (Unaudited)</w:t>
              </w:r>
            </w:hyperlink>
          </w:p>
        </w:tc>
        <w:tc>
          <w:tcPr>
            <w:tcW w:w="2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Nine Months Ended September 30, 2019 and 2018 (Unaudited)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8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the Condensed Consolidated Financial Statements (Unaudited)</w:t>
              </w:r>
            </w:hyperlink>
          </w:p>
        </w:tc>
        <w:tc>
          <w:tcPr>
            <w:tcW w:w="122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060" w:type="dxa"/>
            <w:vAlign w:val="bottom"/>
            <w:gridSpan w:val="2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360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60" w:type="dxa"/>
            <w:vAlign w:val="bottom"/>
            <w:gridSpan w:val="2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80" w:type="dxa"/>
            <w:vAlign w:val="bottom"/>
            <w:gridSpan w:val="13"/>
          </w:tcPr>
          <w:p>
            <w:pPr>
              <w:jc w:val="center"/>
              <w:ind w:right="4120"/>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II—OTHER INFORMATION</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3080" w:type="dxa"/>
            <w:vAlign w:val="bottom"/>
            <w:gridSpan w:val="11"/>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2860" w:type="dxa"/>
            <w:vAlign w:val="bottom"/>
            <w:tcBorders>
              <w:top w:val="single" w:sz="8" w:color="0000EE"/>
            </w:tcBorders>
            <w:gridSpan w:val="5"/>
          </w:tcPr>
          <w:p>
            <w:pPr>
              <w:spacing w:after="0"/>
              <w:rPr>
                <w:sz w:val="24"/>
                <w:szCs w:val="24"/>
                <w:color w:val="auto"/>
              </w:rPr>
            </w:pPr>
          </w:p>
        </w:tc>
        <w:tc>
          <w:tcPr>
            <w:tcW w:w="412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8720" w:type="dxa"/>
            <w:vAlign w:val="bottom"/>
            <w:gridSpan w:val="1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Unregistered Sales of Equity Securities and Use of Proceeds</w:t>
              </w:r>
            </w:hyperlink>
          </w:p>
        </w:tc>
        <w:tc>
          <w:tcPr>
            <w:tcW w:w="5700" w:type="dxa"/>
            <w:vAlign w:val="bottom"/>
            <w:gridSpan w:val="1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Defaults Upon Senior Securities</w:t>
              </w:r>
            </w:hyperlink>
          </w:p>
        </w:tc>
        <w:tc>
          <w:tcPr>
            <w:tcW w:w="7720" w:type="dxa"/>
            <w:vAlign w:val="bottom"/>
            <w:gridSpan w:val="1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90">
              <w:r>
                <w:rPr>
                  <w:rFonts w:ascii="Arial" w:cs="Arial" w:eastAsia="Arial" w:hAnsi="Arial"/>
                  <w:sz w:val="18"/>
                  <w:szCs w:val="18"/>
                  <w:color w:val="0000EE"/>
                  <w:w w:val="91"/>
                </w:rPr>
                <w:t>Mine Safety Disclosures</w:t>
              </w:r>
            </w:hyperlink>
          </w:p>
        </w:tc>
        <w:tc>
          <w:tcPr>
            <w:tcW w:w="8280" w:type="dxa"/>
            <w:vAlign w:val="bottom"/>
            <w:gridSpan w:val="1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0060" w:type="dxa"/>
            <w:vAlign w:val="bottom"/>
            <w:gridSpan w:val="24"/>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Other Information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Exhibits</w:t>
              </w:r>
            </w:hyperlink>
          </w:p>
        </w:tc>
        <w:tc>
          <w:tcPr>
            <w:tcW w:w="8740" w:type="dxa"/>
            <w:vAlign w:val="bottom"/>
            <w:gridSpan w:val="1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300" w:type="dxa"/>
            <w:vAlign w:val="bottom"/>
            <w:gridSpan w:val="2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4"/>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Signatures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669"/>
        </w:trPr>
        <w:tc>
          <w:tcPr>
            <w:tcW w:w="920" w:type="dxa"/>
            <w:vAlign w:val="bottom"/>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4420" w:type="dxa"/>
            <w:vAlign w:val="bottom"/>
            <w:gridSpan w:val="12"/>
          </w:tcPr>
          <w:p>
            <w:pPr>
              <w:jc w:val="right"/>
              <w:ind w:right="340"/>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FIBROGEN, INC.</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6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September 30, 2019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Current assets: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196,592</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432,040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532,144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($17,662 and $47,210 from a related party)</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4,908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 ($126,012 and $0 from a related party)</w:t>
            </w:r>
          </w:p>
        </w:tc>
        <w:tc>
          <w:tcPr>
            <w:tcW w:w="8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133,715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786,480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690,015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Restricted time deposits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4,145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43,208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Finance lease right-of-use assets</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42,064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8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 assets</w:t>
            </w:r>
          </w:p>
        </w:tc>
        <w:tc>
          <w:tcPr>
            <w:tcW w:w="8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893,964</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880,598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stockholders’ equity and non-controlling interests</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Current liabilities: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($730 and $0 to a related party)</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4,055</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Accrued and other current liabilities ($954 and $444 to a related party)</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70,825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Finance lease liabilities, current</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12,149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8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87,286</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89,033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Long-term portion of lease obligations</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Product development obligations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16,256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Deferred revenue, net of current</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98,708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136,109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Finance lease liabilities, non-current</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40,713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8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280,246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Preferred stock, $0.01 par value; 125,000 shares authorized; no shares issued</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tcPr>
          <w:p>
            <w:pPr>
              <w:ind w:left="360"/>
              <w:spacing w:after="0"/>
              <w:rPr>
                <w:sz w:val="20"/>
                <w:szCs w:val="20"/>
                <w:color w:val="auto"/>
              </w:rPr>
            </w:pPr>
            <w:r>
              <w:rPr>
                <w:rFonts w:ascii="Arial" w:cs="Arial" w:eastAsia="Arial" w:hAnsi="Arial"/>
                <w:sz w:val="18"/>
                <w:szCs w:val="18"/>
                <w:color w:val="auto"/>
              </w:rPr>
              <w:t>and outstanding at September 30, 2019 and December 31, 2018</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$0.01 par value; 225,000 shares authorized at September 30, 2019</w:t>
            </w: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and December 31, 2018; 87,211 and 85,432 shares issued and outstanding at</w:t>
            </w: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September 30, 2019 and December 31, 2018</w:t>
            </w:r>
          </w:p>
        </w:tc>
        <w:tc>
          <w:tcPr>
            <w:tcW w:w="8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1,280,396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1,226,453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(686,597)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(715,827)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8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594,447</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509,199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Non-controlling interests</w:t>
            </w:r>
          </w:p>
        </w:tc>
        <w:tc>
          <w:tcPr>
            <w:tcW w:w="8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Total equity</w:t>
            </w:r>
          </w:p>
        </w:tc>
        <w:tc>
          <w:tcPr>
            <w:tcW w:w="8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613,718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528,470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stockholders’ equity and non-controlling interests</w:t>
            </w:r>
          </w:p>
        </w:tc>
        <w:tc>
          <w:tcPr>
            <w:tcW w:w="8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893,964</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4"/>
              </w:rPr>
              <w:t>Three Months Ended September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License revenue (includes $11,935, $0, $129,405</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and $14,323 from a related party)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11,935</w:t>
            </w:r>
          </w:p>
        </w:tc>
        <w:tc>
          <w:tcPr>
            <w:tcW w:w="180" w:type="dxa"/>
            <w:vAlign w:val="bottom"/>
          </w:tcPr>
          <w:p>
            <w:pPr>
              <w:spacing w:after="0"/>
              <w:rPr>
                <w:sz w:val="20"/>
                <w:szCs w:val="20"/>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162,517</w:t>
            </w:r>
          </w:p>
        </w:tc>
        <w:tc>
          <w:tcPr>
            <w:tcW w:w="30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Development and other revenue (includes $3,533, $5,131,</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$25,615 and $16,448 from a related party)</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20,660</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29,027</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85,507</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Product revenue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33,174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29,027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248,603</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104,903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costs and expenses:</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49,963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56,443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152,467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35,823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84,772</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costs and expenses</w:t>
            </w: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71,799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237,481</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Income (loss) from operations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(52,854)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(42,772)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11,122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Interest and other, net</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(2,739)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(2,209)</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 income and other, net</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12,496</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interest and other, net</w:t>
            </w: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10,287</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(49,363)</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(42,432)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21,409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(107,074)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(49,439)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(42,556)</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21,153</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(107,373)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(0.57)</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0.24</w:t>
            </w:r>
          </w:p>
        </w:tc>
        <w:tc>
          <w:tcPr>
            <w:tcW w:w="3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(0.57)</w:t>
            </w:r>
          </w:p>
        </w:tc>
        <w:tc>
          <w:tcPr>
            <w:tcW w:w="4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(0.50)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Weighted average number of common shares used to</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220"/>
              <w:spacing w:after="0"/>
              <w:rPr>
                <w:sz w:val="20"/>
                <w:szCs w:val="20"/>
                <w:color w:val="auto"/>
              </w:rPr>
            </w:pPr>
            <w:r>
              <w:rPr>
                <w:rFonts w:ascii="Arial" w:cs="Arial" w:eastAsia="Arial" w:hAnsi="Arial"/>
                <w:sz w:val="18"/>
                <w:szCs w:val="18"/>
                <w:color w:val="auto"/>
              </w:rPr>
              <w:t>calculate net income (loss) per share:</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87,007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84,508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86,390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87,007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84,508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91,995</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83,713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5"/>
              </w:rPr>
              <w:t>Three Months Ended September 30,</w:t>
            </w:r>
          </w:p>
        </w:tc>
        <w:tc>
          <w:tcPr>
            <w:tcW w:w="180" w:type="dxa"/>
            <w:vAlign w:val="bottom"/>
          </w:tcPr>
          <w:p>
            <w:pPr>
              <w:spacing w:after="0"/>
              <w:rPr>
                <w:sz w:val="14"/>
                <w:szCs w:val="14"/>
                <w:color w:val="auto"/>
              </w:rPr>
            </w:pPr>
          </w:p>
        </w:tc>
        <w:tc>
          <w:tcPr>
            <w:tcW w:w="26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56"/>
        </w:trPr>
        <w:tc>
          <w:tcPr>
            <w:tcW w:w="56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(49,439)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(42,556)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(107,373)</w:t>
            </w:r>
          </w:p>
        </w:tc>
        <w:tc>
          <w:tcPr>
            <w:tcW w:w="12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FF0FC"/>
          </w:tcPr>
          <w:p>
            <w:pPr>
              <w:spacing w:after="0"/>
              <w:rPr>
                <w:sz w:val="19"/>
                <w:szCs w:val="19"/>
                <w:color w:val="auto"/>
              </w:rPr>
            </w:pPr>
          </w:p>
        </w:tc>
      </w:tr>
      <w:tr>
        <w:trPr>
          <w:trHeight w:val="230"/>
        </w:trPr>
        <w:tc>
          <w:tcPr>
            <w:tcW w:w="5660" w:type="dxa"/>
            <w:vAlign w:val="bottom"/>
          </w:tcPr>
          <w:p>
            <w:pPr>
              <w:ind w:left="260"/>
              <w:spacing w:after="0"/>
              <w:rPr>
                <w:sz w:val="20"/>
                <w:szCs w:val="20"/>
                <w:color w:val="auto"/>
              </w:rPr>
            </w:pPr>
            <w:r>
              <w:rPr>
                <w:rFonts w:ascii="Arial" w:cs="Arial" w:eastAsia="Arial" w:hAnsi="Arial"/>
                <w:sz w:val="18"/>
                <w:szCs w:val="18"/>
                <w:color w:val="auto"/>
              </w:rPr>
              <w:t>Available-for-sale investments: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gain on investments, net of tax effect</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(385)</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w:t>
            </w:r>
          </w:p>
        </w:tc>
      </w:tr>
      <w:tr>
        <w:trPr>
          <w:trHeight w:val="223"/>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net of taxes</w:t>
            </w: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1,446</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FF0FC"/>
            </w:tcBorders>
          </w:tcPr>
          <w:p>
            <w:pPr>
              <w:spacing w:after="0"/>
              <w:rPr>
                <w:sz w:val="19"/>
                <w:szCs w:val="19"/>
                <w:color w:val="auto"/>
              </w:rPr>
            </w:pPr>
          </w:p>
        </w:tc>
      </w:tr>
      <w:tr>
        <w:trPr>
          <w:trHeight w:val="223"/>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income (loss)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(49,201)</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(42,515)</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22,599</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(106,898)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p>
      <w:pPr>
        <w:ind w:left="5840"/>
        <w:spacing w:after="0"/>
        <w:rPr>
          <w:sz w:val="20"/>
          <w:szCs w:val="20"/>
          <w:color w:val="auto"/>
        </w:rPr>
      </w:pPr>
      <w:r>
        <w:rPr>
          <w:rFonts w:ascii="Arial" w:cs="Arial" w:eastAsia="Arial" w:hAnsi="Arial"/>
          <w:sz w:val="14"/>
          <w:szCs w:val="14"/>
          <w:b w:val="1"/>
          <w:bCs w:val="1"/>
          <w:color w:val="auto"/>
        </w:rPr>
        <w:t>For The Three Month Period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300"/>
              <w:spacing w:after="0" w:line="134" w:lineRule="exact"/>
              <w:rPr>
                <w:sz w:val="20"/>
                <w:szCs w:val="20"/>
                <w:color w:val="auto"/>
              </w:rPr>
            </w:pPr>
            <w:r>
              <w:rPr>
                <w:rFonts w:ascii="Arial" w:cs="Arial" w:eastAsia="Arial" w:hAnsi="Arial"/>
                <w:sz w:val="12"/>
                <w:szCs w:val="12"/>
                <w:b w:val="1"/>
                <w:bCs w:val="1"/>
                <w:color w:val="auto"/>
                <w:w w:val="87"/>
              </w:rPr>
              <w:t>Accumulated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right"/>
              <w:ind w:right="460"/>
              <w:spacing w:after="0" w:line="135" w:lineRule="exact"/>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30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90"/>
              <w:spacing w:after="0" w:line="135" w:lineRule="exact"/>
              <w:rPr>
                <w:sz w:val="20"/>
                <w:szCs w:val="20"/>
                <w:color w:val="auto"/>
              </w:rPr>
            </w:pPr>
            <w:r>
              <w:rPr>
                <w:rFonts w:ascii="Arial" w:cs="Arial" w:eastAsia="Arial" w:hAnsi="Arial"/>
                <w:sz w:val="12"/>
                <w:szCs w:val="12"/>
                <w:b w:val="1"/>
                <w:bCs w:val="1"/>
                <w:color w:val="auto"/>
                <w:w w:val="94"/>
              </w:rPr>
              <w:t>Non</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7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12"/>
                <w:szCs w:val="12"/>
                <w:color w:val="auto"/>
              </w:rPr>
            </w:pPr>
          </w:p>
        </w:tc>
        <w:tc>
          <w:tcPr>
            <w:tcW w:w="900" w:type="dxa"/>
            <w:vAlign w:val="bottom"/>
          </w:tcPr>
          <w:p>
            <w:pPr>
              <w:jc w:val="center"/>
              <w:ind w:right="90"/>
              <w:spacing w:after="0"/>
              <w:rPr>
                <w:sz w:val="20"/>
                <w:szCs w:val="20"/>
                <w:color w:val="auto"/>
              </w:rPr>
            </w:pPr>
            <w:r>
              <w:rPr>
                <w:rFonts w:ascii="Arial" w:cs="Arial" w:eastAsia="Arial" w:hAnsi="Arial"/>
                <w:sz w:val="12"/>
                <w:szCs w:val="12"/>
                <w:b w:val="1"/>
                <w:bCs w:val="1"/>
                <w:color w:val="auto"/>
                <w:w w:val="90"/>
              </w:rPr>
              <w:t>Controlling</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300" w:type="dxa"/>
            <w:vAlign w:val="bottom"/>
            <w:gridSpan w:val="2"/>
          </w:tcPr>
          <w:p>
            <w:pPr>
              <w:ind w:left="3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760" w:type="dxa"/>
            <w:vAlign w:val="bottom"/>
          </w:tcPr>
          <w:p>
            <w:pPr>
              <w:jc w:val="right"/>
              <w:ind w:right="249"/>
              <w:spacing w:after="0"/>
              <w:rPr>
                <w:sz w:val="20"/>
                <w:szCs w:val="20"/>
                <w:color w:val="auto"/>
              </w:rPr>
            </w:pPr>
            <w:r>
              <w:rPr>
                <w:rFonts w:ascii="Arial" w:cs="Arial" w:eastAsia="Arial" w:hAnsi="Arial"/>
                <w:sz w:val="12"/>
                <w:szCs w:val="12"/>
                <w:b w:val="1"/>
                <w:bCs w:val="1"/>
                <w:color w:val="auto"/>
                <w:w w:val="92"/>
              </w:rPr>
              <w:t>Amount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Capital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78"/>
              </w:rPr>
              <w:t>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3"/>
                <w:szCs w:val="13"/>
                <w:color w:val="auto"/>
              </w:rPr>
            </w:pPr>
          </w:p>
        </w:tc>
        <w:tc>
          <w:tcPr>
            <w:tcW w:w="900" w:type="dxa"/>
            <w:vAlign w:val="bottom"/>
          </w:tcPr>
          <w:p>
            <w:pPr>
              <w:jc w:val="center"/>
              <w:ind w:right="90"/>
              <w:spacing w:after="0"/>
              <w:rPr>
                <w:sz w:val="20"/>
                <w:szCs w:val="20"/>
                <w:color w:val="auto"/>
              </w:rPr>
            </w:pPr>
            <w:r>
              <w:rPr>
                <w:rFonts w:ascii="Arial" w:cs="Arial" w:eastAsia="Arial" w:hAnsi="Arial"/>
                <w:sz w:val="12"/>
                <w:szCs w:val="12"/>
                <w:b w:val="1"/>
                <w:bCs w:val="1"/>
                <w:color w:val="auto"/>
                <w:w w:val="83"/>
              </w:rPr>
              <w:t>Interests</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8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June 30,</w:t>
            </w:r>
          </w:p>
        </w:tc>
        <w:tc>
          <w:tcPr>
            <w:tcW w:w="10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b w:val="1"/>
                <w:bCs w:val="1"/>
                <w:color w:val="auto"/>
              </w:rPr>
              <w:t>2019</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86,847,072</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868</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1,265,783</w:t>
            </w:r>
          </w:p>
        </w:tc>
        <w:tc>
          <w:tcPr>
            <w:tcW w:w="1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(462)</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(637,158)</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648,302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Net loss</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(49,439)</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(49,439)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gain or</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loss on investments</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adjustments</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issued from stock</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plans, net of payroll taxes</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paid</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363,597</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14,793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14,793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8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September 30,</w:t>
            </w:r>
          </w:p>
        </w:tc>
        <w:tc>
          <w:tcPr>
            <w:tcW w:w="10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b w:val="1"/>
                <w:bCs w:val="1"/>
                <w:color w:val="auto"/>
              </w:rPr>
              <w:t>2019</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87,210,669</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872</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1,280,396</w:t>
            </w:r>
          </w:p>
        </w:tc>
        <w:tc>
          <w:tcPr>
            <w:tcW w:w="1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(224)</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(686,597)</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613,718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2180" w:type="dxa"/>
            <w:vAlign w:val="bottom"/>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Balance at June 30,</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b w:val="1"/>
                <w:bCs w:val="1"/>
                <w:color w:val="auto"/>
              </w:rPr>
              <w:t>2018</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84,182,844</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842</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1,191,524</w:t>
            </w:r>
          </w:p>
        </w:tc>
        <w:tc>
          <w:tcPr>
            <w:tcW w:w="1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(2,611)</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(694,224)</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514,802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Net loss</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(42,556)</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(42,556)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gain or</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loss on investments</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adjustments</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issued from stock</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plans, net of payroll taxes</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paid</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663,898</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3,966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14,323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14,323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8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September 30,</w:t>
            </w:r>
          </w:p>
        </w:tc>
        <w:tc>
          <w:tcPr>
            <w:tcW w:w="10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b w:val="1"/>
                <w:bCs w:val="1"/>
                <w:color w:val="auto"/>
              </w:rPr>
              <w:t>2018</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84,846,742</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848</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1,209,813</w:t>
            </w:r>
          </w:p>
        </w:tc>
        <w:tc>
          <w:tcPr>
            <w:tcW w:w="1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(2,570)</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(736,780)</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490,582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4" w:lineRule="exact"/>
        <w:rPr>
          <w:sz w:val="20"/>
          <w:szCs w:val="20"/>
          <w:color w:val="auto"/>
        </w:rPr>
      </w:pPr>
    </w:p>
    <w:p>
      <w:pPr>
        <w:ind w:left="5880"/>
        <w:spacing w:after="0"/>
        <w:rPr>
          <w:sz w:val="20"/>
          <w:szCs w:val="20"/>
          <w:color w:val="auto"/>
        </w:rPr>
      </w:pPr>
      <w:r>
        <w:rPr>
          <w:rFonts w:ascii="Arial" w:cs="Arial" w:eastAsia="Arial" w:hAnsi="Arial"/>
          <w:sz w:val="14"/>
          <w:szCs w:val="14"/>
          <w:b w:val="1"/>
          <w:bCs w:val="1"/>
          <w:color w:val="auto"/>
        </w:rPr>
        <w:t>For The Nine Month Period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300"/>
              <w:spacing w:after="0" w:line="134" w:lineRule="exact"/>
              <w:rPr>
                <w:sz w:val="20"/>
                <w:szCs w:val="20"/>
                <w:color w:val="auto"/>
              </w:rPr>
            </w:pPr>
            <w:r>
              <w:rPr>
                <w:rFonts w:ascii="Arial" w:cs="Arial" w:eastAsia="Arial" w:hAnsi="Arial"/>
                <w:sz w:val="12"/>
                <w:szCs w:val="12"/>
                <w:b w:val="1"/>
                <w:bCs w:val="1"/>
                <w:color w:val="auto"/>
                <w:w w:val="87"/>
              </w:rPr>
              <w:t>Accumulated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230"/>
              <w:spacing w:after="0" w:line="135" w:lineRule="exact"/>
              <w:rPr>
                <w:sz w:val="20"/>
                <w:szCs w:val="20"/>
                <w:color w:val="auto"/>
              </w:rPr>
            </w:pPr>
            <w:r>
              <w:rPr>
                <w:rFonts w:ascii="Arial" w:cs="Arial" w:eastAsia="Arial" w:hAnsi="Arial"/>
                <w:sz w:val="12"/>
                <w:szCs w:val="12"/>
                <w:b w:val="1"/>
                <w:bCs w:val="1"/>
                <w:color w:val="auto"/>
              </w:rPr>
              <w:t>Additional</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30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420"/>
              <w:spacing w:after="0" w:line="135" w:lineRule="exact"/>
              <w:rPr>
                <w:sz w:val="20"/>
                <w:szCs w:val="20"/>
                <w:color w:val="auto"/>
              </w:rPr>
            </w:pPr>
            <w:r>
              <w:rPr>
                <w:rFonts w:ascii="Arial" w:cs="Arial" w:eastAsia="Arial" w:hAnsi="Arial"/>
                <w:sz w:val="12"/>
                <w:szCs w:val="12"/>
                <w:b w:val="1"/>
                <w:bCs w:val="1"/>
                <w:color w:val="auto"/>
                <w:w w:val="94"/>
              </w:rPr>
              <w:t>Non</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7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310"/>
              <w:spacing w:after="0"/>
              <w:rPr>
                <w:sz w:val="20"/>
                <w:szCs w:val="20"/>
                <w:color w:val="auto"/>
              </w:rPr>
            </w:pPr>
            <w:r>
              <w:rPr>
                <w:rFonts w:ascii="Arial" w:cs="Arial" w:eastAsia="Arial" w:hAnsi="Arial"/>
                <w:sz w:val="12"/>
                <w:szCs w:val="12"/>
                <w:b w:val="1"/>
                <w:bCs w:val="1"/>
                <w:color w:val="auto"/>
              </w:rPr>
              <w:t>Paid-in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7"/>
              </w:rPr>
              <w:t>Accumulated</w:t>
            </w:r>
          </w:p>
        </w:tc>
        <w:tc>
          <w:tcPr>
            <w:tcW w:w="140" w:type="dxa"/>
            <w:vAlign w:val="bottom"/>
          </w:tcPr>
          <w:p>
            <w:pPr>
              <w:spacing w:after="0"/>
              <w:rPr>
                <w:sz w:val="12"/>
                <w:szCs w:val="12"/>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0"/>
              </w:rPr>
              <w:t>Controlling</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40" w:type="dxa"/>
            <w:vAlign w:val="bottom"/>
            <w:tcBorders>
              <w:bottom w:val="single" w:sz="8" w:color="auto"/>
            </w:tcBorders>
          </w:tcPr>
          <w:p>
            <w:pPr>
              <w:jc w:val="right"/>
              <w:ind w:right="289"/>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w w:val="92"/>
              </w:rPr>
              <w:t>Amount</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2"/>
                <w:szCs w:val="12"/>
                <w:b w:val="1"/>
                <w:bCs w:val="1"/>
                <w:color w:val="auto"/>
              </w:rPr>
              <w:t>Capital</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71"/>
              <w:spacing w:after="0"/>
              <w:rPr>
                <w:sz w:val="20"/>
                <w:szCs w:val="20"/>
                <w:color w:val="auto"/>
              </w:rPr>
            </w:pPr>
            <w:r>
              <w:rPr>
                <w:rFonts w:ascii="Arial" w:cs="Arial" w:eastAsia="Arial" w:hAnsi="Arial"/>
                <w:sz w:val="12"/>
                <w:szCs w:val="12"/>
                <w:b w:val="1"/>
                <w:bCs w:val="1"/>
                <w:color w:val="auto"/>
                <w:w w:val="78"/>
              </w:rPr>
              <w:t>Loss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2"/>
                <w:szCs w:val="12"/>
                <w:b w:val="1"/>
                <w:bCs w:val="1"/>
                <w:color w:val="auto"/>
                <w:w w:val="92"/>
              </w:rPr>
              <w:t>Deficit</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2"/>
                <w:szCs w:val="12"/>
                <w:b w:val="1"/>
                <w:bCs w:val="1"/>
                <w:color w:val="auto"/>
                <w:w w:val="83"/>
              </w:rPr>
              <w:t>Interests</w:t>
            </w: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9"/>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9"/>
              </w:rPr>
              <w:t>(Note 1)</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180" w:type="dxa"/>
            <w:vAlign w:val="bottom"/>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Balance at December 31,</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b w:val="1"/>
                <w:bCs w:val="1"/>
                <w:color w:val="auto"/>
              </w:rPr>
              <w:t>2018</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85,432,102</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854</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1,226,453</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(2,281)</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(715,827)</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528,470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180" w:type="dxa"/>
            <w:vAlign w:val="bottom"/>
          </w:tcPr>
          <w:p>
            <w:pPr>
              <w:spacing w:after="0" w:line="139" w:lineRule="exact"/>
              <w:rPr>
                <w:sz w:val="20"/>
                <w:szCs w:val="20"/>
                <w:color w:val="auto"/>
              </w:rPr>
            </w:pPr>
            <w:r>
              <w:rPr>
                <w:rFonts w:ascii="Arial" w:cs="Arial" w:eastAsia="Arial" w:hAnsi="Arial"/>
                <w:sz w:val="14"/>
                <w:szCs w:val="14"/>
                <w:color w:val="auto"/>
              </w:rPr>
              <w:t>Impact of adoption of</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 xml:space="preserve">ASC 842 </w:t>
            </w:r>
            <w:r>
              <w:rPr>
                <w:rFonts w:ascii="Arial" w:cs="Arial" w:eastAsia="Arial" w:hAnsi="Arial"/>
                <w:sz w:val="14"/>
                <w:szCs w:val="14"/>
                <w:b w:val="1"/>
                <w:bCs w:val="1"/>
                <w:color w:val="auto"/>
              </w:rPr>
              <w:t>(Note 1)</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8,688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8,688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Impact of change in</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accounting principle upon</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180" w:type="dxa"/>
            <w:vAlign w:val="bottom"/>
            <w:shd w:val="clear" w:color="auto" w:fill="CFF0FC"/>
          </w:tcPr>
          <w:p>
            <w:pPr>
              <w:ind w:left="100"/>
              <w:spacing w:after="0" w:line="145" w:lineRule="exact"/>
              <w:rPr>
                <w:sz w:val="20"/>
                <w:szCs w:val="20"/>
                <w:color w:val="auto"/>
              </w:rPr>
            </w:pPr>
            <w:r>
              <w:rPr>
                <w:rFonts w:ascii="Arial" w:cs="Arial" w:eastAsia="Arial" w:hAnsi="Arial"/>
                <w:sz w:val="14"/>
                <w:szCs w:val="14"/>
                <w:color w:val="auto"/>
              </w:rPr>
              <w:t>adoption of ASU 2018-02</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b w:val="1"/>
                <w:bCs w:val="1"/>
                <w:color w:val="auto"/>
              </w:rPr>
              <w:t>(Note 1)</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(611)</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Net income</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21,153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21,153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gain or</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loss on investments</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adjustments</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issued from stock</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plans, net of payroll taxes</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paid</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1,778,567</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5,078</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5,096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48,865</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48,865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8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September 30,</w:t>
            </w:r>
          </w:p>
        </w:tc>
        <w:tc>
          <w:tcPr>
            <w:tcW w:w="10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b w:val="1"/>
                <w:bCs w:val="1"/>
                <w:color w:val="auto"/>
              </w:rPr>
              <w:t>2019</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87,210,669</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872</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1,280,396</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(224)</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(686,597)</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613,718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2180" w:type="dxa"/>
            <w:vAlign w:val="bottom"/>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Balance at December 31,</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b w:val="1"/>
                <w:bCs w:val="1"/>
                <w:color w:val="auto"/>
              </w:rPr>
              <w:t>2017</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82,498,128</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825</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1,160,094</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(1,795)</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(630,657)</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547,738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tcPr>
          <w:p>
            <w:pPr>
              <w:spacing w:after="0" w:line="143" w:lineRule="exact"/>
              <w:rPr>
                <w:sz w:val="20"/>
                <w:szCs w:val="20"/>
                <w:color w:val="auto"/>
              </w:rPr>
            </w:pPr>
            <w:r>
              <w:rPr>
                <w:rFonts w:ascii="Arial" w:cs="Arial" w:eastAsia="Arial" w:hAnsi="Arial"/>
                <w:sz w:val="14"/>
                <w:szCs w:val="14"/>
                <w:color w:val="auto"/>
              </w:rPr>
              <w:t>Impact of change in</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accounting principle upon</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adoption of ASU 2016-01</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(1,250)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(107,373)</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(107,373)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tcPr>
          <w:p>
            <w:pPr>
              <w:spacing w:after="0" w:line="143" w:lineRule="exact"/>
              <w:rPr>
                <w:sz w:val="20"/>
                <w:szCs w:val="20"/>
                <w:color w:val="auto"/>
              </w:rPr>
            </w:pPr>
            <w:r>
              <w:rPr>
                <w:rFonts w:ascii="Arial" w:cs="Arial" w:eastAsia="Arial" w:hAnsi="Arial"/>
                <w:sz w:val="14"/>
                <w:szCs w:val="14"/>
                <w:color w:val="auto"/>
              </w:rPr>
              <w:t>Change in unrealized gain or</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loss on investments</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adjustments</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tcPr>
          <w:p>
            <w:pPr>
              <w:spacing w:after="0" w:line="143" w:lineRule="exact"/>
              <w:rPr>
                <w:sz w:val="20"/>
                <w:szCs w:val="20"/>
                <w:color w:val="auto"/>
              </w:rPr>
            </w:pPr>
            <w:r>
              <w:rPr>
                <w:rFonts w:ascii="Arial" w:cs="Arial" w:eastAsia="Arial" w:hAnsi="Arial"/>
                <w:sz w:val="14"/>
                <w:szCs w:val="14"/>
                <w:color w:val="auto"/>
              </w:rPr>
              <w:t>Shares issued from stock</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plans, net of payroll taxes</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paid</w:t>
            </w:r>
          </w:p>
        </w:tc>
        <w:tc>
          <w:tcPr>
            <w:tcW w:w="1040" w:type="dxa"/>
            <w:vAlign w:val="bottom"/>
          </w:tcPr>
          <w:p>
            <w:pPr>
              <w:jc w:val="right"/>
              <w:spacing w:after="0"/>
              <w:rPr>
                <w:sz w:val="20"/>
                <w:szCs w:val="20"/>
                <w:color w:val="auto"/>
              </w:rPr>
            </w:pPr>
            <w:r>
              <w:rPr>
                <w:rFonts w:ascii="Arial" w:cs="Arial" w:eastAsia="Arial" w:hAnsi="Arial"/>
                <w:sz w:val="14"/>
                <w:szCs w:val="14"/>
                <w:color w:val="auto"/>
              </w:rPr>
              <w:t>2,348,614</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11,287</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38,432</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38,432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Balance at September 30,</w:t>
            </w:r>
          </w:p>
        </w:tc>
        <w:tc>
          <w:tcPr>
            <w:tcW w:w="10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00" w:type="dxa"/>
            <w:vAlign w:val="bottom"/>
            <w:gridSpan w:val="2"/>
          </w:tcPr>
          <w:p>
            <w:pPr>
              <w:ind w:left="120"/>
              <w:spacing w:after="0"/>
              <w:rPr>
                <w:sz w:val="20"/>
                <w:szCs w:val="20"/>
                <w:color w:val="auto"/>
              </w:rPr>
            </w:pPr>
            <w:r>
              <w:rPr>
                <w:rFonts w:ascii="Arial" w:cs="Arial" w:eastAsia="Arial" w:hAnsi="Arial"/>
                <w:sz w:val="14"/>
                <w:szCs w:val="14"/>
                <w:b w:val="1"/>
                <w:bCs w:val="1"/>
                <w:color w:val="auto"/>
              </w:rPr>
              <w:t>2018</w:t>
            </w:r>
          </w:p>
        </w:tc>
        <w:tc>
          <w:tcPr>
            <w:tcW w:w="1040" w:type="dxa"/>
            <w:vAlign w:val="bottom"/>
          </w:tcPr>
          <w:p>
            <w:pPr>
              <w:jc w:val="right"/>
              <w:spacing w:after="0"/>
              <w:rPr>
                <w:sz w:val="20"/>
                <w:szCs w:val="20"/>
                <w:color w:val="auto"/>
              </w:rPr>
            </w:pPr>
            <w:r>
              <w:rPr>
                <w:rFonts w:ascii="Arial" w:cs="Arial" w:eastAsia="Arial" w:hAnsi="Arial"/>
                <w:sz w:val="14"/>
                <w:szCs w:val="14"/>
                <w:color w:val="auto"/>
              </w:rPr>
              <w:t>84,846,742</w:t>
            </w:r>
          </w:p>
        </w:tc>
        <w:tc>
          <w:tcPr>
            <w:tcW w:w="260" w:type="dxa"/>
            <w:vAlign w:val="bottom"/>
          </w:tcPr>
          <w:p>
            <w:pPr>
              <w:spacing w:after="0"/>
              <w:rPr>
                <w:sz w:val="14"/>
                <w:szCs w:val="14"/>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848</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1,209,813</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(2,570)</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(736,780)</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19,271</w:t>
            </w:r>
          </w:p>
        </w:tc>
        <w:tc>
          <w:tcPr>
            <w:tcW w:w="260" w:type="dxa"/>
            <w:vAlign w:val="bottom"/>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490,582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300" w:type="dxa"/>
            <w:vAlign w:val="bottom"/>
            <w:tcBorders>
              <w:bottom w:val="single" w:sz="8" w:color="auto"/>
            </w:tcBorders>
            <w:gridSpan w:val="4"/>
          </w:tcPr>
          <w:p>
            <w:pPr>
              <w:jc w:val="right"/>
              <w:ind w:right="165"/>
              <w:spacing w:after="0"/>
              <w:rPr>
                <w:sz w:val="20"/>
                <w:szCs w:val="20"/>
                <w:color w:val="auto"/>
              </w:rPr>
            </w:pPr>
            <w:r>
              <w:rPr>
                <w:rFonts w:ascii="Arial" w:cs="Arial" w:eastAsia="Arial" w:hAnsi="Arial"/>
                <w:sz w:val="14"/>
                <w:szCs w:val="14"/>
                <w:b w:val="1"/>
                <w:bCs w:val="1"/>
                <w:color w:val="auto"/>
              </w:rPr>
              <w:t>Nine Months Ended September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0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ind w:right="5"/>
              <w:spacing w:after="0" w:line="155"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9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2140" w:type="dxa"/>
            <w:vAlign w:val="bottom"/>
            <w:gridSpan w:val="2"/>
          </w:tcPr>
          <w:p>
            <w:pPr>
              <w:jc w:val="right"/>
              <w:ind w:right="1007"/>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21,153</w:t>
            </w:r>
          </w:p>
        </w:tc>
        <w:tc>
          <w:tcPr>
            <w:tcW w:w="300" w:type="dxa"/>
            <w:vAlign w:val="bottom"/>
          </w:tcPr>
          <w:p>
            <w:pPr>
              <w:spacing w:after="0"/>
              <w:rPr>
                <w:sz w:val="18"/>
                <w:szCs w:val="18"/>
                <w:color w:val="auto"/>
              </w:rPr>
            </w:pPr>
          </w:p>
        </w:tc>
        <w:tc>
          <w:tcPr>
            <w:tcW w:w="1160" w:type="dxa"/>
            <w:vAlign w:val="bottom"/>
          </w:tcPr>
          <w:p>
            <w:pPr>
              <w:jc w:val="right"/>
              <w:ind w:right="100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(107,373)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9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00" w:type="dxa"/>
            <w:vAlign w:val="bottom"/>
          </w:tcPr>
          <w:p>
            <w:pPr>
              <w:ind w:left="240"/>
              <w:spacing w:after="0"/>
              <w:rPr>
                <w:sz w:val="20"/>
                <w:szCs w:val="20"/>
                <w:color w:val="auto"/>
              </w:rPr>
            </w:pPr>
            <w:r>
              <w:rPr>
                <w:rFonts w:ascii="Arial" w:cs="Arial" w:eastAsia="Arial" w:hAnsi="Arial"/>
                <w:sz w:val="16"/>
                <w:szCs w:val="16"/>
                <w:color w:val="auto"/>
              </w:rPr>
              <w:t>Depreciation</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8,715</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Amortization of finance lease right-of-use assets</w:t>
            </w:r>
          </w:p>
        </w:tc>
        <w:tc>
          <w:tcPr>
            <w:tcW w:w="9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7,720</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00" w:type="dxa"/>
            <w:vAlign w:val="bottom"/>
          </w:tcPr>
          <w:p>
            <w:pPr>
              <w:ind w:left="240"/>
              <w:spacing w:after="0"/>
              <w:rPr>
                <w:sz w:val="20"/>
                <w:szCs w:val="20"/>
                <w:color w:val="auto"/>
              </w:rPr>
            </w:pPr>
            <w:r>
              <w:rPr>
                <w:rFonts w:ascii="Arial" w:cs="Arial" w:eastAsia="Arial" w:hAnsi="Arial"/>
                <w:sz w:val="16"/>
                <w:szCs w:val="16"/>
                <w:color w:val="auto"/>
              </w:rPr>
              <w:t>Net amortization of premium and discount on investments</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(3,354)</w:t>
            </w: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Unrealized loss (gain) on cash equivalents and short-term equity investments</w:t>
            </w:r>
          </w:p>
        </w:tc>
        <w:tc>
          <w:tcPr>
            <w:tcW w:w="9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(78)</w:t>
            </w:r>
          </w:p>
        </w:tc>
        <w:tc>
          <w:tcPr>
            <w:tcW w:w="1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00" w:type="dxa"/>
            <w:vAlign w:val="bottom"/>
          </w:tcPr>
          <w:p>
            <w:pPr>
              <w:ind w:left="240"/>
              <w:spacing w:after="0"/>
              <w:rPr>
                <w:sz w:val="20"/>
                <w:szCs w:val="20"/>
                <w:color w:val="auto"/>
              </w:rPr>
            </w:pPr>
            <w:r>
              <w:rPr>
                <w:rFonts w:ascii="Arial" w:cs="Arial" w:eastAsia="Arial" w:hAnsi="Arial"/>
                <w:sz w:val="16"/>
                <w:szCs w:val="16"/>
                <w:color w:val="auto"/>
              </w:rPr>
              <w:t>Loss (gain) on disposal of property and equipment</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(10)</w:t>
            </w: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Stock-based compensation</w:t>
            </w:r>
          </w:p>
        </w:tc>
        <w:tc>
          <w:tcPr>
            <w:tcW w:w="9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48,865</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00" w:type="dxa"/>
            <w:vAlign w:val="bottom"/>
          </w:tcPr>
          <w:p>
            <w:pPr>
              <w:ind w:left="240"/>
              <w:spacing w:after="0"/>
              <w:rPr>
                <w:sz w:val="20"/>
                <w:szCs w:val="20"/>
                <w:color w:val="auto"/>
              </w:rPr>
            </w:pPr>
            <w:r>
              <w:rPr>
                <w:rFonts w:ascii="Arial" w:cs="Arial" w:eastAsia="Arial" w:hAnsi="Arial"/>
                <w:sz w:val="16"/>
                <w:szCs w:val="16"/>
                <w:color w:val="auto"/>
              </w:rPr>
              <w:t>Realized foreign currency gain</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(1,074)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Realized gain on sales of available-for-sale securities</w:t>
            </w:r>
          </w:p>
        </w:tc>
        <w:tc>
          <w:tcPr>
            <w:tcW w:w="9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3"/>
        </w:trPr>
        <w:tc>
          <w:tcPr>
            <w:tcW w:w="6320" w:type="dxa"/>
            <w:vAlign w:val="bottom"/>
            <w:gridSpan w:val="2"/>
          </w:tcPr>
          <w:p>
            <w:pPr>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receivable</w:t>
            </w:r>
          </w:p>
        </w:tc>
        <w:tc>
          <w:tcPr>
            <w:tcW w:w="9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44,459</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(14,735)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0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(4,908)</w:t>
            </w:r>
          </w:p>
        </w:tc>
        <w:tc>
          <w:tcPr>
            <w:tcW w:w="1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(128,922)</w:t>
            </w:r>
          </w:p>
        </w:tc>
        <w:tc>
          <w:tcPr>
            <w:tcW w:w="1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0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(953)</w:t>
            </w: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payable</w:t>
            </w:r>
          </w:p>
        </w:tc>
        <w:tc>
          <w:tcPr>
            <w:tcW w:w="9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(5,084)</w:t>
            </w:r>
          </w:p>
        </w:tc>
        <w:tc>
          <w:tcPr>
            <w:tcW w:w="1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00" w:type="dxa"/>
            <w:vAlign w:val="bottom"/>
          </w:tcPr>
          <w:p>
            <w:pPr>
              <w:ind w:left="240"/>
              <w:spacing w:after="0"/>
              <w:rPr>
                <w:sz w:val="20"/>
                <w:szCs w:val="20"/>
                <w:color w:val="auto"/>
              </w:rPr>
            </w:pPr>
            <w:r>
              <w:rPr>
                <w:rFonts w:ascii="Arial" w:cs="Arial" w:eastAsia="Arial" w:hAnsi="Arial"/>
                <w:sz w:val="16"/>
                <w:szCs w:val="16"/>
                <w:color w:val="auto"/>
              </w:rPr>
              <w:t>Accrued and other liabilities</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5,484</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(9,885)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revenue</w:t>
            </w:r>
          </w:p>
        </w:tc>
        <w:tc>
          <w:tcPr>
            <w:tcW w:w="9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(50,915)</w:t>
            </w:r>
          </w:p>
        </w:tc>
        <w:tc>
          <w:tcPr>
            <w:tcW w:w="1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00" w:type="dxa"/>
            <w:vAlign w:val="bottom"/>
          </w:tcPr>
          <w:p>
            <w:pPr>
              <w:ind w:left="240"/>
              <w:spacing w:after="0"/>
              <w:rPr>
                <w:sz w:val="20"/>
                <w:szCs w:val="20"/>
                <w:color w:val="auto"/>
              </w:rPr>
            </w:pPr>
            <w:r>
              <w:rPr>
                <w:rFonts w:ascii="Arial" w:cs="Arial" w:eastAsia="Arial" w:hAnsi="Arial"/>
                <w:sz w:val="16"/>
                <w:szCs w:val="16"/>
                <w:color w:val="auto"/>
              </w:rPr>
              <w:t>Lease obligations</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Accrued interest for finance lease liabilities</w:t>
            </w:r>
          </w:p>
        </w:tc>
        <w:tc>
          <w:tcPr>
            <w:tcW w:w="9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Other long-term liabilities</w:t>
            </w:r>
          </w:p>
        </w:tc>
        <w:tc>
          <w:tcPr>
            <w:tcW w:w="98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24,069</w:t>
            </w:r>
          </w:p>
        </w:tc>
        <w:tc>
          <w:tcPr>
            <w:tcW w:w="30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Net cash used in operating activities</w:t>
            </w:r>
          </w:p>
        </w:tc>
        <w:tc>
          <w:tcPr>
            <w:tcW w:w="9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(33,655)</w:t>
            </w:r>
          </w:p>
        </w:tc>
        <w:tc>
          <w:tcPr>
            <w:tcW w:w="1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(58,679)</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Investing activities</w:t>
            </w:r>
          </w:p>
        </w:tc>
        <w:tc>
          <w:tcPr>
            <w:tcW w:w="9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gridSpan w:val="2"/>
          </w:tcPr>
          <w:p>
            <w:pPr>
              <w:spacing w:after="0"/>
              <w:rPr>
                <w:sz w:val="20"/>
                <w:szCs w:val="20"/>
                <w:color w:val="auto"/>
              </w:rPr>
            </w:pPr>
            <w:r>
              <w:rPr>
                <w:rFonts w:ascii="Arial" w:cs="Arial" w:eastAsia="Arial" w:hAnsi="Arial"/>
                <w:sz w:val="16"/>
                <w:szCs w:val="16"/>
                <w:color w:val="auto"/>
              </w:rPr>
              <w:t>Purchases of property and equipment</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(4,017)</w:t>
            </w:r>
          </w:p>
        </w:tc>
        <w:tc>
          <w:tcPr>
            <w:tcW w:w="1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(4,852)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sale of property and equipment</w:t>
            </w:r>
          </w:p>
        </w:tc>
        <w:tc>
          <w:tcPr>
            <w:tcW w:w="9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20" w:type="dxa"/>
            <w:vAlign w:val="bottom"/>
            <w:gridSpan w:val="2"/>
          </w:tcPr>
          <w:p>
            <w:pPr>
              <w:spacing w:after="0"/>
              <w:rPr>
                <w:sz w:val="20"/>
                <w:szCs w:val="20"/>
                <w:color w:val="auto"/>
              </w:rPr>
            </w:pPr>
            <w:r>
              <w:rPr>
                <w:rFonts w:ascii="Arial" w:cs="Arial" w:eastAsia="Arial" w:hAnsi="Arial"/>
                <w:sz w:val="16"/>
                <w:szCs w:val="16"/>
                <w:color w:val="auto"/>
              </w:rPr>
              <w:t>Purchases of available-for-sale securities and term deposit</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(155,932)</w:t>
            </w:r>
          </w:p>
        </w:tc>
        <w:tc>
          <w:tcPr>
            <w:tcW w:w="1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(110,156)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sales of available-for-sale securities</w:t>
            </w:r>
          </w:p>
        </w:tc>
        <w:tc>
          <w:tcPr>
            <w:tcW w:w="9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20" w:type="dxa"/>
            <w:vAlign w:val="bottom"/>
            <w:gridSpan w:val="2"/>
          </w:tcPr>
          <w:p>
            <w:pPr>
              <w:spacing w:after="0"/>
              <w:rPr>
                <w:sz w:val="20"/>
                <w:szCs w:val="20"/>
                <w:color w:val="auto"/>
              </w:rPr>
            </w:pPr>
            <w:r>
              <w:rPr>
                <w:rFonts w:ascii="Arial" w:cs="Arial" w:eastAsia="Arial" w:hAnsi="Arial"/>
                <w:sz w:val="16"/>
                <w:szCs w:val="16"/>
                <w:color w:val="auto"/>
              </w:rPr>
              <w:t>Proceeds from maturities of investments</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305,000</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47,390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vMerge w:val="restart"/>
            <w:shd w:val="clear" w:color="auto" w:fill="CFF0FC"/>
          </w:tcPr>
          <w:p>
            <w:pPr>
              <w:ind w:left="480"/>
              <w:spacing w:after="0"/>
              <w:rPr>
                <w:sz w:val="20"/>
                <w:szCs w:val="20"/>
                <w:color w:val="auto"/>
              </w:rPr>
            </w:pPr>
            <w:r>
              <w:rPr>
                <w:rFonts w:ascii="Arial" w:cs="Arial" w:eastAsia="Arial" w:hAnsi="Arial"/>
                <w:sz w:val="16"/>
                <w:szCs w:val="16"/>
                <w:color w:val="auto"/>
              </w:rPr>
              <w:t>Net cash provided by (used in) investing activities</w:t>
            </w:r>
          </w:p>
        </w:tc>
        <w:tc>
          <w:tcPr>
            <w:tcW w:w="9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145,051</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(59,267)</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9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gridSpan w:val="2"/>
          </w:tcPr>
          <w:p>
            <w:pPr>
              <w:spacing w:after="0"/>
              <w:rPr>
                <w:sz w:val="20"/>
                <w:szCs w:val="20"/>
                <w:color w:val="auto"/>
              </w:rPr>
            </w:pPr>
            <w:r>
              <w:rPr>
                <w:rFonts w:ascii="Arial" w:cs="Arial" w:eastAsia="Arial" w:hAnsi="Arial"/>
                <w:sz w:val="16"/>
                <w:szCs w:val="16"/>
                <w:color w:val="auto"/>
              </w:rPr>
              <w:t>Borrowings under capital lease obligations</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Repayments of finance lease liabilities</w:t>
            </w:r>
          </w:p>
        </w:tc>
        <w:tc>
          <w:tcPr>
            <w:tcW w:w="9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(8,810)</w:t>
            </w:r>
          </w:p>
        </w:tc>
        <w:tc>
          <w:tcPr>
            <w:tcW w:w="1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20" w:type="dxa"/>
            <w:vAlign w:val="bottom"/>
            <w:gridSpan w:val="2"/>
          </w:tcPr>
          <w:p>
            <w:pPr>
              <w:spacing w:after="0"/>
              <w:rPr>
                <w:sz w:val="20"/>
                <w:szCs w:val="20"/>
                <w:color w:val="auto"/>
              </w:rPr>
            </w:pPr>
            <w:r>
              <w:rPr>
                <w:rFonts w:ascii="Arial" w:cs="Arial" w:eastAsia="Arial" w:hAnsi="Arial"/>
                <w:sz w:val="16"/>
                <w:szCs w:val="16"/>
                <w:color w:val="auto"/>
              </w:rPr>
              <w:t>Repayments of lease obligations</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(302)</w:t>
            </w:r>
          </w:p>
        </w:tc>
        <w:tc>
          <w:tcPr>
            <w:tcW w:w="1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Cash paid for payroll taxes on restricted stock unit releases</w:t>
            </w:r>
          </w:p>
        </w:tc>
        <w:tc>
          <w:tcPr>
            <w:tcW w:w="9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(10,614)</w:t>
            </w:r>
          </w:p>
        </w:tc>
        <w:tc>
          <w:tcPr>
            <w:tcW w:w="1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(13,288)</w:t>
            </w:r>
          </w:p>
        </w:tc>
        <w:tc>
          <w:tcPr>
            <w:tcW w:w="0" w:type="dxa"/>
            <w:vAlign w:val="bottom"/>
          </w:tcPr>
          <w:p>
            <w:pPr>
              <w:spacing w:after="0"/>
              <w:rPr>
                <w:sz w:val="1"/>
                <w:szCs w:val="1"/>
                <w:color w:val="auto"/>
              </w:rPr>
            </w:pPr>
          </w:p>
        </w:tc>
      </w:tr>
      <w:tr>
        <w:trPr>
          <w:trHeight w:val="213"/>
        </w:trPr>
        <w:tc>
          <w:tcPr>
            <w:tcW w:w="6320" w:type="dxa"/>
            <w:vAlign w:val="bottom"/>
            <w:gridSpan w:val="2"/>
          </w:tcPr>
          <w:p>
            <w:pPr>
              <w:spacing w:after="0"/>
              <w:rPr>
                <w:sz w:val="20"/>
                <w:szCs w:val="20"/>
                <w:color w:val="auto"/>
              </w:rPr>
            </w:pPr>
            <w:r>
              <w:rPr>
                <w:rFonts w:ascii="Arial" w:cs="Arial" w:eastAsia="Arial" w:hAnsi="Arial"/>
                <w:sz w:val="16"/>
                <w:szCs w:val="16"/>
                <w:color w:val="auto"/>
              </w:rPr>
              <w:t>Proceeds from issuance of common stock</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15,710</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24,598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vMerge w:val="restart"/>
            <w:shd w:val="clear" w:color="auto" w:fill="CFF0FC"/>
          </w:tcPr>
          <w:p>
            <w:pPr>
              <w:ind w:left="480"/>
              <w:spacing w:after="0"/>
              <w:rPr>
                <w:sz w:val="20"/>
                <w:szCs w:val="20"/>
                <w:color w:val="auto"/>
              </w:rPr>
            </w:pPr>
            <w:r>
              <w:rPr>
                <w:rFonts w:ascii="Arial" w:cs="Arial" w:eastAsia="Arial" w:hAnsi="Arial"/>
                <w:sz w:val="16"/>
                <w:szCs w:val="16"/>
                <w:color w:val="auto"/>
              </w:rPr>
              <w:t>Net cash provided by (used in) financing activities</w:t>
            </w:r>
          </w:p>
        </w:tc>
        <w:tc>
          <w:tcPr>
            <w:tcW w:w="9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30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(4,016)</w:t>
            </w:r>
          </w:p>
        </w:tc>
        <w:tc>
          <w:tcPr>
            <w:tcW w:w="1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6"/>
                <w:szCs w:val="16"/>
                <w:color w:val="auto"/>
              </w:rPr>
              <w:t>Effect of exchange rate change on cash and cash equivalents</w:t>
            </w:r>
          </w:p>
        </w:tc>
        <w:tc>
          <w:tcPr>
            <w:tcW w:w="9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2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(46)</w:t>
            </w:r>
          </w:p>
        </w:tc>
        <w:tc>
          <w:tcPr>
            <w:tcW w:w="11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increase (decrease) in cash and cash equivalents</w:t>
            </w:r>
          </w:p>
        </w:tc>
        <w:tc>
          <w:tcPr>
            <w:tcW w:w="9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30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107,334</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(106,936)</w:t>
            </w:r>
          </w:p>
        </w:tc>
        <w:tc>
          <w:tcPr>
            <w:tcW w:w="0" w:type="dxa"/>
            <w:vAlign w:val="bottom"/>
          </w:tcPr>
          <w:p>
            <w:pPr>
              <w:spacing w:after="0"/>
              <w:rPr>
                <w:sz w:val="1"/>
                <w:szCs w:val="1"/>
                <w:color w:val="auto"/>
              </w:rPr>
            </w:pPr>
          </w:p>
        </w:tc>
      </w:tr>
      <w:tr>
        <w:trPr>
          <w:trHeight w:val="213"/>
        </w:trPr>
        <w:tc>
          <w:tcPr>
            <w:tcW w:w="6320" w:type="dxa"/>
            <w:vAlign w:val="bottom"/>
            <w:gridSpan w:val="2"/>
          </w:tcPr>
          <w:p>
            <w:pPr>
              <w:spacing w:after="0"/>
              <w:rPr>
                <w:sz w:val="20"/>
                <w:szCs w:val="20"/>
                <w:color w:val="auto"/>
              </w:rPr>
            </w:pPr>
            <w:r>
              <w:rPr>
                <w:rFonts w:ascii="Arial" w:cs="Arial" w:eastAsia="Arial" w:hAnsi="Arial"/>
                <w:sz w:val="16"/>
                <w:szCs w:val="16"/>
                <w:color w:val="auto"/>
              </w:rPr>
              <w:t>Total cash and cash equivalents at beginning of period</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89,258</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673,658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cash and cash equivalents at end of period</w:t>
            </w:r>
          </w:p>
        </w:tc>
        <w:tc>
          <w:tcPr>
            <w:tcW w:w="98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ind w:right="100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196,592</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ind w:right="10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566,722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8500" w:firstLine="8"/>
        <w:spacing w:after="0" w:line="400" w:lineRule="auto"/>
        <w:tabs>
          <w:tab w:leader="none" w:pos="513"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Description of Operations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FibroGen, Inc. (“FibroGen” or the “Company”) was incorporated in 1993 in Delaware and headquartered in San Francisco, California, with subsidiary offices in Beijing and Shanghai, People’s Republic of China (“China”). FibroGen is a leading biopharmaceutical company discovering and developing a pipeline of first-in-class therapeutics. The Company applies its pioneering expertise in hypoxia-inducible factor (“HIF”), connective tissue growth factor (“CTGF”) biology, and clinical development to advance innovative medicines for the treatment of anemia, fibrotic disease, and cancer. Roxadustat, the Company’s most advanced product, is an oral small molecule inhibitor of HIF prolyl hydroxylase (“HIF-PH”) activity, completing Phase 3 clinical development for the treatment of anemia in chronic kidney disease (“CKD”), with a New Drug Application (“NDA”) approved in China for dialysis and non-dialysis and in Japan for dialysis. The Company and its collaboration partners AstraZeneca AB (“AstraZeneca”) and Astellas Pharma Inc. (“Astellas”) are in the process of preparing an NDA for submission to the United States (“U.S.”) Food and Drug Administration (“FDA”) and a Marketing Authorization Application (“MAA”) for submission to the European Medicines Agency (“EMA”). Roxadustat is in Phase 3 clinical development in the U.S. and Europe and in Phase 2/3 development in China for anemia associated with myelodysplastic syndromes. Roxadustat is in Phase 2 clinical development for chemotherapy induced-anemia. Pamrevlumab, an anti-CTGF human monoclonal antibody, is in Phase 3 clinical development for the treatment of both idiopathic pulmonary fibrosis and pancreatic cancer. Pamrevlumab is also currently in a Phase 2 trial for Duchenne muscular dystrophy. FibroGen is also developing a biosynthetic cornea in China.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condensed consolidated financial statements include the accounts of FibroGen, its wholly owned subsidiaries and its majority-owned subsidiaries, FibroGen Europe Oy and FibroGen China Anemia Holdings, Ltd. (“FibroGen China”). All inter-company transactions and balances have been eliminated in consolidation. The Company operates in one segment — the discovery, development and commercialization of novel therapeutics to treat serious unmet medical needs.</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unaudited condensed consolidated financial statements and related disclosures have been prepared in accordance with accounting principles generally accepted in the U.S. (“U.S. GAAP”) applicable to interim financial reporting and with the instructions to Form 10-Q and Rule 10-01 of Regulation S-X of the U.S. Securities and Exchange Commission (“SEC”) and, therefore, do not include all information and footnote disclosures normally included in the annual consolidated financial statements. The financial information included herein should be read in conjunction with the consolidated financial statements and related notes in the Company’s Annual Report on Form 10-K filed with the SEC for the year ended December 31, 2018 (“2018 Form 10-K”).</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accounting policies used by the Company in its presentation of interim financial results are consistent with those presented in Note 2 to the consolidated financial statements included in the 2018 Form 10-K, except for the following: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Company determines if an arrangement is a lease at inception date when it is given control of the underlying assets. The Company elected the practical expedient not to apply the lease recognition and measurement requirements to short-term leases, which is any lease with a term of 12 months or less as of the commencement date that does not include an option to purchase the underlying asset that the lessee is reasonably certain to exercise.</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The Company’s building leases previously accounted for as build-to-suit arrangements prior to the adoption of Accounting Standards Codification (“ASC”) 842 -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are accounted for as finance leases under the requirements of ASC 842.</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Lease right-of-use (“ROU”) assets and lease liabilities are recognized based on the present value of the future minimum lease payments over the lease term at commencement date. As its leases do not typically provide an implicit rate, the Company uses its incremental borrowing rate based on the information available at commencement date in determining the present value of future payments. The Company will reassess the incremental borrowing rate periodically for application to any new leases or lease modifications or if any company-specific or general business conditions warrant.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Lease ROU assets include any lease payments made and initial direct costs incurred. The Company has lease agreements with lease and non-lease components. The Company generally accounts for each lease component separately from the non-lease components, and excludes all non-lease components from the calculation of minimum lease payments in measuring the ROU asset and lease liability.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Company’s lease terms may include options to extend or terminate the lease when it is reasonably certain that the Company will exercise that option.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minimum lease payments is recognized on a straight-line basis over the lease terms.</w:t>
      </w:r>
    </w:p>
    <w:p>
      <w:pPr>
        <w:spacing w:after="0" w:line="21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Regarding leases denominated in a foreign currency, the related ROU assets and the corresponding ROU asset amortization costs are remeasured using the exchange rate in effect at the date of initial recognition; the related lease liabilities are remeasured using the exchange rate in effect at the end of the reporting period; the lease costs and interest expenses related to lease liability accretion are remeasured using average exchange rates for the reporting period.</w:t>
      </w:r>
    </w:p>
    <w:p>
      <w:pPr>
        <w:spacing w:after="0" w:line="14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Finance leases are included in finance lease ROU assets, finance lease liabilities, current and non-current on the Company’s consolidated balance sheets. Operating leases are included in other assets, accrued and other current liabilities, and other long-term liabilities on the Company’s consolidated balance sheets.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Inventories are stated at the lower of cost and net realizable value. The cost of inventories is determined using full absorption and standard costing, which approximates cost based on a first-in, first-out method. The Company reviews the standard costs of raw materials, work-in-process and finished goods periodically, and at least annually, to ensure that its inventories approximate current actual costs. The cost of inventories includes direct material costs, direct labor and manufacturing overhead. The Company regularly reviews the need to adjust the carrying value of excess and obsolete inventories to their estimated net realizable value, if less than cost, based primarily on its estimated forecast of product demand and product expiration period.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product sales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sells roxadustat drug product through a number of pharmaceutical distributors in China. End customers order roxadustat drug product through the distributors and the Company ships drug product directly to these distributors. The delivery of roxadustat drug product to the distributors represents a single performance obligation for these transactions. Product revenue is recognized when control of the promised goods is transferred to the customer in an amount that reflects the consideration to which the Company expects to be entitled in exchange for those products, which is net of contractual sales discounts.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and deferred revenue, estimates of accruals related to clinical trial costs, valuation allowances for deferred tax assets, and valuation and recognition of stock-based compensation. On an ongoing basis, management reviews these estimates and assumptions. Changes in facts and circumstances may alter such estimates and actual results could differ from those estimates. In the Company’s opinion, the accompanying unaudited condensed consolidated financial statements include all normal recurring adjustments necessary for a fair statement of its financial position, results of operations and cash flows for the interim periods presented.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is a reconciliation of the basic and diluted net income (loss) per share calculation for the periods presented (in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14"/>
                <w:szCs w:val="14"/>
                <w:color w:val="auto"/>
              </w:rPr>
            </w:pPr>
          </w:p>
        </w:tc>
        <w:tc>
          <w:tcPr>
            <w:tcW w:w="24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(49,439)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(42,556)</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21,153</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Weighted average shares used to compute net income</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260"/>
              <w:spacing w:after="0"/>
              <w:rPr>
                <w:sz w:val="20"/>
                <w:szCs w:val="20"/>
                <w:color w:val="auto"/>
              </w:rPr>
            </w:pPr>
            <w:r>
              <w:rPr>
                <w:rFonts w:ascii="Arial" w:cs="Arial" w:eastAsia="Arial" w:hAnsi="Arial"/>
                <w:sz w:val="18"/>
                <w:szCs w:val="18"/>
                <w:color w:val="auto"/>
              </w:rPr>
              <w:t>(loss) per share:</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87,007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84,508</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86,390</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Dilutive effect of potential common shares</w:t>
            </w:r>
          </w:p>
        </w:tc>
        <w:tc>
          <w:tcPr>
            <w:tcW w:w="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5,605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87,007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84,508</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91,995</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(0.57)</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(0.50)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0.24</w:t>
            </w:r>
          </w:p>
        </w:tc>
        <w:tc>
          <w:tcPr>
            <w:tcW w:w="32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(0.57)</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Diluted shares did not include 9.2 million and 3.6 million securities for the three and nine months ended September 30, 2019, and 9.3 million and 9.1 million securities for the three and nine months ended September 30, 2018, respectively, as they were anti-dilutive.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 842</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Under this guidance, an entity is required to recognize ROU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xml:space="preserve"> (“ASU 2018-11”), which provides entities the option to initially apply ASU 2016-02 at the adoption date and recognize a cumulative-effect adjustment to the opening balance of retained earnings in the period of adoption.</w:t>
      </w:r>
    </w:p>
    <w:p>
      <w:pPr>
        <w:spacing w:after="0" w:line="18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adopted the above guidance under ASC 842 as of January 1, 2019, using the modified retrospective transition method, through a cumulative-effect adjustment at the beginning of the first quarter of 2019. The Company elected the optional transition method under the guidance, which allowed it to continue applying previous lease guidance (ASC 840) for the comparative prior year periods presentation in the year of adoption. Accordingly, the Company recognized a cumulative-effect adjustment to the opening balance of retained earnings in the period of adoption.</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the Company elected the package of transitional practical expedients permitted under the transition guidance under ASC 842, which among other things allows the Company to carry forward its historical lease classification, and not to reassess initial direct costs for any existing leases. Meanwhile, the Company did not elect the hindsight practical expedient because it has limited number of leases, lease terms are straightforward, and most of its lease renewals are undefined until negotiated.</w:t>
      </w:r>
    </w:p>
    <w:p>
      <w:pPr>
        <w:spacing w:after="0" w:line="18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addition, the Company has elected the short-term accounting policy practical expedient and does not apply the balance sheet recognition requirements for short-term leases (excluding expenses relating to leases with a lease term of one month or less), by class of underlying asset to which the right of use relates. The Company has not elected the non-lease components practical expedient, and therefore accounts for each lease component separately from the non-lease components.</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Upon adoption of ASC 842, the Company classified its existing building leases that were previously accounted for as build-to-suit arrangements as finance leases and applied the transition guidance. Accordingly, the Company derecognized the assets and liabilities previously recognized under ASC 840 build-to-suit guidance. In addition, as a result of applying the transition guidance, the Company also recorded an adjustment to the accumulated depreciation of related leasehold improvements to reflect a change in estimated useful life from the building life to the shorter of the building life and remaining lease term. Differences between the assets and liabilities derecognized were recorded to the opening balance of retained earnings.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impacts to the select line items from the Company’s condensed consolidated balance sheet upon adoption of the ASC 842 guidance are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2"/>
            <w:vMerge w:val="restart"/>
          </w:tcPr>
          <w:p>
            <w:pPr>
              <w:ind w:left="1340"/>
              <w:spacing w:after="0"/>
              <w:rPr>
                <w:sz w:val="20"/>
                <w:szCs w:val="20"/>
                <w:color w:val="auto"/>
              </w:rPr>
            </w:pPr>
            <w:r>
              <w:rPr>
                <w:rFonts w:ascii="Arial" w:cs="Arial" w:eastAsia="Arial" w:hAnsi="Arial"/>
                <w:sz w:val="14"/>
                <w:szCs w:val="14"/>
                <w:b w:val="1"/>
                <w:bCs w:val="1"/>
                <w:color w:val="auto"/>
              </w:rPr>
              <w:t>Balance Sheet Line Item</w:t>
            </w:r>
          </w:p>
        </w:tc>
        <w:tc>
          <w:tcPr>
            <w:tcW w:w="5380" w:type="dxa"/>
            <w:vAlign w:val="bottom"/>
            <w:vMerge w:val="restart"/>
          </w:tcPr>
          <w:p>
            <w:pPr>
              <w:ind w:left="2000"/>
              <w:spacing w:after="0"/>
              <w:rPr>
                <w:sz w:val="20"/>
                <w:szCs w:val="20"/>
                <w:color w:val="auto"/>
              </w:rPr>
            </w:pPr>
            <w:r>
              <w:rPr>
                <w:rFonts w:ascii="Arial" w:cs="Arial" w:eastAsia="Arial" w:hAnsi="Arial"/>
                <w:sz w:val="14"/>
                <w:szCs w:val="14"/>
                <w:b w:val="1"/>
                <w:bCs w:val="1"/>
                <w:color w:val="auto"/>
              </w:rPr>
              <w:t>Nature of Adjustment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New Lease Guidance</w:t>
            </w:r>
          </w:p>
        </w:tc>
        <w:tc>
          <w:tcPr>
            <w:tcW w:w="0" w:type="dxa"/>
            <w:vAlign w:val="bottom"/>
          </w:tcPr>
          <w:p>
            <w:pPr>
              <w:spacing w:after="0"/>
              <w:rPr>
                <w:sz w:val="1"/>
                <w:szCs w:val="1"/>
                <w:color w:val="auto"/>
              </w:rPr>
            </w:pPr>
          </w:p>
        </w:tc>
      </w:tr>
      <w:tr>
        <w:trPr>
          <w:trHeight w:val="171"/>
        </w:trPr>
        <w:tc>
          <w:tcPr>
            <w:tcW w:w="4280" w:type="dxa"/>
            <w:vAlign w:val="bottom"/>
            <w:gridSpan w:val="2"/>
            <w:vMerge w:val="continue"/>
          </w:tcPr>
          <w:p>
            <w:pPr>
              <w:spacing w:after="0"/>
              <w:rPr>
                <w:sz w:val="14"/>
                <w:szCs w:val="14"/>
                <w:color w:val="auto"/>
              </w:rPr>
            </w:pPr>
          </w:p>
        </w:tc>
        <w:tc>
          <w:tcPr>
            <w:tcW w:w="5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Adoption Adjustment</w:t>
            </w:r>
          </w:p>
        </w:tc>
        <w:tc>
          <w:tcPr>
            <w:tcW w:w="0" w:type="dxa"/>
            <w:vAlign w:val="bottom"/>
          </w:tcPr>
          <w:p>
            <w:pPr>
              <w:spacing w:after="0"/>
              <w:rPr>
                <w:sz w:val="1"/>
                <w:szCs w:val="1"/>
                <w:color w:val="auto"/>
              </w:rPr>
            </w:pPr>
          </w:p>
        </w:tc>
      </w:tr>
      <w:tr>
        <w:trPr>
          <w:trHeight w:val="223"/>
        </w:trPr>
        <w:tc>
          <w:tcPr>
            <w:tcW w:w="4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53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5380" w:type="dxa"/>
            <w:vAlign w:val="bottom"/>
          </w:tcPr>
          <w:p>
            <w:pPr>
              <w:spacing w:after="0"/>
              <w:rPr>
                <w:sz w:val="20"/>
                <w:szCs w:val="20"/>
                <w:color w:val="auto"/>
              </w:rPr>
            </w:pPr>
            <w:r>
              <w:rPr>
                <w:rFonts w:ascii="Arial" w:cs="Arial" w:eastAsia="Arial" w:hAnsi="Arial"/>
                <w:sz w:val="18"/>
                <w:szCs w:val="18"/>
                <w:color w:val="auto"/>
              </w:rPr>
              <w:t>Derecognition - build-to-suit lease assets - building shell, cost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(53,880)</w:t>
            </w:r>
          </w:p>
        </w:tc>
        <w:tc>
          <w:tcPr>
            <w:tcW w:w="0" w:type="dxa"/>
            <w:vAlign w:val="bottom"/>
          </w:tcPr>
          <w:p>
            <w:pPr>
              <w:spacing w:after="0"/>
              <w:rPr>
                <w:sz w:val="1"/>
                <w:szCs w:val="1"/>
                <w:color w:val="auto"/>
              </w:rPr>
            </w:pPr>
          </w:p>
        </w:tc>
      </w:tr>
      <w:tr>
        <w:trPr>
          <w:trHeight w:val="215"/>
        </w:trPr>
        <w:tc>
          <w:tcPr>
            <w:tcW w:w="4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Derecognition - build-to-suit lease assets - building shell,</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3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accumulated depreciation</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Change of useful life - leasehold improvements,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80" w:type="dxa"/>
            <w:vAlign w:val="bottom"/>
          </w:tcPr>
          <w:p>
            <w:pPr>
              <w:ind w:left="180"/>
              <w:spacing w:after="0"/>
              <w:rPr>
                <w:sz w:val="20"/>
                <w:szCs w:val="20"/>
                <w:color w:val="auto"/>
              </w:rPr>
            </w:pPr>
            <w:r>
              <w:rPr>
                <w:rFonts w:ascii="Arial" w:cs="Arial" w:eastAsia="Arial" w:hAnsi="Arial"/>
                <w:sz w:val="18"/>
                <w:szCs w:val="18"/>
                <w:color w:val="auto"/>
              </w:rPr>
              <w:t>accumulated depreciation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(38,877)</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 right-of-use assets</w:t>
            </w: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Recognition - finance lease ROU assets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5380" w:type="dxa"/>
            <w:vAlign w:val="bottom"/>
          </w:tcPr>
          <w:p>
            <w:pPr>
              <w:spacing w:after="0"/>
              <w:rPr>
                <w:sz w:val="20"/>
                <w:szCs w:val="20"/>
                <w:color w:val="auto"/>
              </w:rPr>
            </w:pPr>
            <w:r>
              <w:rPr>
                <w:rFonts w:ascii="Arial" w:cs="Arial" w:eastAsia="Arial" w:hAnsi="Arial"/>
                <w:sz w:val="18"/>
                <w:szCs w:val="18"/>
                <w:color w:val="auto"/>
              </w:rPr>
              <w:t>Recognition - operating lease ROU 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5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Accrued and other current liabilities</w:t>
            </w:r>
          </w:p>
        </w:tc>
        <w:tc>
          <w:tcPr>
            <w:tcW w:w="5380" w:type="dxa"/>
            <w:vAlign w:val="bottom"/>
          </w:tcPr>
          <w:p>
            <w:pPr>
              <w:spacing w:after="0"/>
              <w:rPr>
                <w:sz w:val="20"/>
                <w:szCs w:val="20"/>
                <w:color w:val="auto"/>
              </w:rPr>
            </w:pPr>
            <w:r>
              <w:rPr>
                <w:rFonts w:ascii="Arial" w:cs="Arial" w:eastAsia="Arial" w:hAnsi="Arial"/>
                <w:sz w:val="18"/>
                <w:szCs w:val="18"/>
                <w:color w:val="auto"/>
              </w:rPr>
              <w:t>Derecognition - deferred rent, current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Derecognition - build-to-suit lease liabilities, current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Recognition - operating lease liabilities, current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 liabilities, current</w:t>
            </w: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Recognition - finance lease liabilities, current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Long-term portion of lease obligations</w:t>
            </w:r>
          </w:p>
        </w:tc>
        <w:tc>
          <w:tcPr>
            <w:tcW w:w="5380" w:type="dxa"/>
            <w:vAlign w:val="bottom"/>
          </w:tcPr>
          <w:p>
            <w:pPr>
              <w:spacing w:after="0"/>
              <w:rPr>
                <w:sz w:val="20"/>
                <w:szCs w:val="20"/>
                <w:color w:val="auto"/>
              </w:rPr>
            </w:pPr>
            <w:r>
              <w:rPr>
                <w:rFonts w:ascii="Arial" w:cs="Arial" w:eastAsia="Arial" w:hAnsi="Arial"/>
                <w:sz w:val="18"/>
                <w:szCs w:val="18"/>
                <w:color w:val="auto"/>
              </w:rPr>
              <w:t>Derecognition - build-to-suit lease liabilities, non-current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(95,613)</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rent</w:t>
            </w: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Derecognition - deferred rent, non-current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Finance lease liabilities, non-current</w:t>
            </w:r>
          </w:p>
        </w:tc>
        <w:tc>
          <w:tcPr>
            <w:tcW w:w="5380" w:type="dxa"/>
            <w:vAlign w:val="bottom"/>
          </w:tcPr>
          <w:p>
            <w:pPr>
              <w:spacing w:after="0"/>
              <w:rPr>
                <w:sz w:val="20"/>
                <w:szCs w:val="20"/>
                <w:color w:val="auto"/>
              </w:rPr>
            </w:pPr>
            <w:r>
              <w:rPr>
                <w:rFonts w:ascii="Arial" w:cs="Arial" w:eastAsia="Arial" w:hAnsi="Arial"/>
                <w:sz w:val="18"/>
                <w:szCs w:val="18"/>
                <w:color w:val="auto"/>
              </w:rPr>
              <w:t>Recognition - finance lease liabilities, non-current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49,884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Recognition - operating lease liabilities, non-current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Cumulative decrease to accumulated deficit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adoption of this guidance did not have a material impact to the Company’s condensed consolidated statement of operations or condensed consolidated statement of cash flows for the nine months ended September 30,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ASU 2018-02</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 - Reporting Comprehensive Income: Reclassification of Certain Tax Effects from</w:t>
      </w:r>
      <w:r>
        <w:rPr>
          <w:rFonts w:ascii="Arial" w:cs="Arial" w:eastAsia="Arial" w:hAnsi="Arial"/>
          <w:sz w:val="17"/>
          <w:szCs w:val="17"/>
          <w:color w:val="auto"/>
        </w:rPr>
        <w:t xml:space="preserve"> </w:t>
      </w:r>
      <w:r>
        <w:rPr>
          <w:rFonts w:ascii="Arial" w:cs="Arial" w:eastAsia="Arial" w:hAnsi="Arial"/>
          <w:sz w:val="17"/>
          <w:szCs w:val="17"/>
          <w:i w:val="1"/>
          <w:iCs w:val="1"/>
          <w:color w:val="auto"/>
        </w:rPr>
        <w:t>Accumulated Other Comprehensive Income</w:t>
      </w:r>
      <w:r>
        <w:rPr>
          <w:rFonts w:ascii="Arial" w:cs="Arial" w:eastAsia="Arial" w:hAnsi="Arial"/>
          <w:sz w:val="17"/>
          <w:szCs w:val="17"/>
          <w:color w:val="auto"/>
        </w:rPr>
        <w:t>. This guidance allows for the reclassification from accumulated other comprehensive income to retained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stranded tax effects arising from the reduction of the U.S. federal statutory income tax rate from 35% to 21%. This guidance was effective for annual reporting period beginning after December 15, 2018, including interim periods. The Company adopted this guidance on January 1, 2019 using the modified retrospective approach. The impacts, based on the aggregate portfolio approach, to the Company’s accumulated other comprehensive loss and accumulated deficit upon adoption of this guidance are as follows (in thousands):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7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9"/>
              </w:rPr>
              <w:t>Accumulated Deficit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Comprehensive Loss</w:t>
            </w:r>
          </w:p>
        </w:tc>
        <w:tc>
          <w:tcPr>
            <w:tcW w:w="18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2018</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(715,827)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Impact of change in accounting principle</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upon adoption of ASU 2018-02</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611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Opening balance as of January 1, 2019</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(716,438)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adoption of this guidance had no impact to the Company’s condensed consolidated statement of operations or condensed consolidated statement of cash flows for the nine months ended September 30,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 Disclosure Requirement</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August 2018, the SEC adopted the final rule under SEC Release No. 33-10532, </w:t>
      </w:r>
      <w:r>
        <w:rPr>
          <w:rFonts w:ascii="Arial" w:cs="Arial" w:eastAsia="Arial" w:hAnsi="Arial"/>
          <w:sz w:val="16"/>
          <w:szCs w:val="16"/>
          <w:i w:val="1"/>
          <w:iCs w:val="1"/>
          <w:color w:val="auto"/>
        </w:rPr>
        <w:t>“Disclosure Update and Simplification,”</w:t>
      </w:r>
      <w:r>
        <w:rPr>
          <w:rFonts w:ascii="Arial" w:cs="Arial" w:eastAsia="Arial" w:hAnsi="Arial"/>
          <w:sz w:val="16"/>
          <w:szCs w:val="16"/>
          <w:color w:val="auto"/>
        </w:rPr>
        <w:t xml:space="preserve"> amending certain disclosure requirements that were redundant, duplicative, overlapping, outdated or superseded. In addition, the amendments expanded the disclosure requirements on the analysis of stockholders’ equity for interim financial statements. Under the amendments, the changes in each caption of stockholders’ equity presented in the balance sheet must be provided in a note or separate statement. This analysis should present a reconciliation of the beginning balance to the ending balance of each period for which a statement of comprehensive income is presented. This final rule was effective as of November 5, 2018. Accordingly, the Company included the condensed consolidated statements of changes in stockholders’ equity in Form 10-Q starting the first quarter of 2019.</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ASU 2018-07</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This guidance expands the scope of Topic 718 to include share-based payment transactions for acquiring goods and services from nonemployees.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The guidance also specifies that Topic 718 applies to all share-based payment transactions in which a grantor acquires goods or services to be used or consumed in a grantor’s own operations by issuing share-based payment awards. This guidance was effective for annual reporting period beginning after December 15, 2018, including interim periods. The Company adopted this guidance on January 1, 2019, and the adoption of this guidance had no impact to the Company’s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Intangibles—Goodwill and Other—Internal-Use Software (Subtopic 350-40):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Implementation Costs Incurred in a Cloud Computing Arrangement That Is a Service Contract. </w:t>
      </w:r>
      <w:r>
        <w:rPr>
          <w:rFonts w:ascii="Arial" w:cs="Arial" w:eastAsia="Arial" w:hAnsi="Arial"/>
          <w:sz w:val="16"/>
          <w:szCs w:val="16"/>
          <w:color w:val="auto"/>
        </w:rPr>
        <w:t>This guidance requires capitalizing implementation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to develop or obtain internal-use software (and hosting arrangements that include an internal-use software license). This guidance should be applied either retrospectively or prospectively and is effective for annual reporting period beginning after December 15, 2019 including interim periods, with early adoption permitted. The Company is currently evaluating the impact on its consolidated financial statements upon the adoption of this guidance.</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Framework—Changes to the Disclosure Requirements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Fair Value Measurement. </w:t>
      </w:r>
      <w:r>
        <w:rPr>
          <w:rFonts w:ascii="Arial" w:cs="Arial" w:eastAsia="Arial" w:hAnsi="Arial"/>
          <w:sz w:val="16"/>
          <w:szCs w:val="16"/>
          <w:color w:val="auto"/>
        </w:rPr>
        <w:t>This guidance amends existing fair value measurement disclosure requirements by adding, changing, or removing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This guidance is effective for annual reporting period beginning after December 15, 2019 including interim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does not anticipate a material impact to its consolidated financial statements upon adoption of this guidance.</w:t>
      </w:r>
    </w:p>
    <w:p>
      <w:pPr>
        <w:spacing w:after="0" w:line="16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xml:space="preserve">. Subsequently in April 2019, the FASB issued amendments to the guidance, ASU 2019-04, </w:t>
      </w:r>
      <w:r>
        <w:rPr>
          <w:rFonts w:ascii="Arial" w:cs="Arial" w:eastAsia="Arial" w:hAnsi="Arial"/>
          <w:sz w:val="17"/>
          <w:szCs w:val="17"/>
          <w:i w:val="1"/>
          <w:iCs w:val="1"/>
          <w:color w:val="auto"/>
        </w:rPr>
        <w:t>Codification Improvements to Topic 326, Financial Instruments—</w:t>
      </w:r>
      <w:r>
        <w:rPr>
          <w:rFonts w:ascii="Arial" w:cs="Arial" w:eastAsia="Arial" w:hAnsi="Arial"/>
          <w:sz w:val="17"/>
          <w:szCs w:val="17"/>
          <w:color w:val="auto"/>
        </w:rPr>
        <w:t xml:space="preserve"> </w:t>
      </w:r>
      <w:r>
        <w:rPr>
          <w:rFonts w:ascii="Arial" w:cs="Arial" w:eastAsia="Arial" w:hAnsi="Arial"/>
          <w:sz w:val="17"/>
          <w:szCs w:val="17"/>
          <w:i w:val="1"/>
          <w:iCs w:val="1"/>
          <w:color w:val="auto"/>
        </w:rPr>
        <w:t>Credit Losses, Topic 815, Derivatives and Hedging, and Topic 825, Financial Instruments</w:t>
      </w:r>
      <w:r>
        <w:rPr>
          <w:rFonts w:ascii="Arial" w:cs="Arial" w:eastAsia="Arial" w:hAnsi="Arial"/>
          <w:sz w:val="17"/>
          <w:szCs w:val="17"/>
          <w:color w:val="auto"/>
        </w:rPr>
        <w:t>, and in May 2019, ASU 2019-05,</w:t>
      </w:r>
      <w:r>
        <w:rPr>
          <w:rFonts w:ascii="Arial" w:cs="Arial" w:eastAsia="Arial" w:hAnsi="Arial"/>
          <w:sz w:val="17"/>
          <w:szCs w:val="17"/>
          <w:i w:val="1"/>
          <w:iCs w:val="1"/>
          <w:color w:val="auto"/>
        </w:rPr>
        <w:t xml:space="preserve"> Financial Instruments – Credit Losses (Topic 326): Targeted Transition Relief</w:t>
      </w:r>
      <w:r>
        <w:rPr>
          <w:rFonts w:ascii="Arial" w:cs="Arial" w:eastAsia="Arial" w:hAnsi="Arial"/>
          <w:sz w:val="17"/>
          <w:szCs w:val="17"/>
          <w:color w:val="auto"/>
        </w:rPr>
        <w:t>. This guidance requires that financial assets measured at amortized cost be presented at the net amount</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to be collected. The measurement of expected credit losses is based on historical experience, current conditions, and reasonable and supportable forecasts that affect the collectability. ASU 2019-04 clarifies that equity instruments without readily determinable fair values for which an entity has elected the measurement alternative should be remeasured to fair value as of the date that an observable transaction occurred. ASU 2019-05 provides an option to irrevocably elect to measure certain individual financial assets at fair value instead of amortized cost. The amendments should be applied on either a prospective transition or modified-retrospective approach depending on the subtopic. This guidance is effective for the annual reporting period beginning after December 15, 2019, including interim periods within that reporting period. The Company does not anticipate a material impact to its consolidated financial statements upon adoption of this guidance.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right="8840" w:firstLine="8"/>
        <w:spacing w:after="0" w:line="425" w:lineRule="auto"/>
        <w:tabs>
          <w:tab w:leader="none" w:pos="513"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Agreements Astellas Agreements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Japan Agreement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June 2005, the Company entered into a collaboration agreement with Astellas for the development and commercialization (but not manufacture)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roxadustat for the treatment of anemia in Japan (“Japan Agreement”). Under this agreement, Astellas paid license fees and other consideration totaling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$40.1 million (such amounts were fully received as of February 2009). Under the Japan Agreement, the Company is also eligible to receive from Astellas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of approximately $132.5 million in potential milestone payments, comprised of (i) up to $22.5 million in milestone payments upon achievement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specified clinical and development milestone events (such amounts were fully received as of July 2016), (ii) up to $95.0 million in milestone payments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achievement of specified regulatory milestone events, and (iii) up to approximately $15.0 million in milestone payments upon the achievement of specified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commercial sales milestone. The aggregate amount of such consideration received through September 30, 2019 totals $77.6 million.</w:t>
      </w:r>
    </w:p>
    <w:p>
      <w:pPr>
        <w:spacing w:after="0" w:line="2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September 2019, Japan’s Ministry of Health, Labour and Welfare approved Evrenzo® (generic name: roxadustat; tradename Evrenzo® in Japan) for the treatment of anemia associated with CKD in dialysis patients. This approval triggered a $12.5 million milestone payable to the Company by Astellas under the Japan Agreement. Accordingly, the consideration of $12.5 million associated with this milestone was included in the transaction price and allocated to performance obligations under the Japan Agreement in the third quarter of 2019, substantially all of which was recognized as revenue during the period from performance obligations satisfied or partially satisfied as of September 30,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 Agreement</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April 2006, the Company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paid license fees and other upfront consideration totaling $320.0 million (such amounts were fully received as of February 2009). Under the Europe Agreement, the Company is also eligible to receive from Astellas an aggregate of approximately $425.0 million in potential milestone payments, comprised of (i) up to $90.0 million in milestone payments upon achievement of specified clinical and development milestone events (such amounts were fully received as of 2012), (ii) up to $335.0 million in milestone payments upon achievement of specified regulatory milestone events. Under the Europe Agreement, Astellas committed to fund 50% of joint development costs for Europe and North America, and all territory-specific costs. The Europe Agreement also provides for tiered payments based on net sales of product (as defined) in the low 20% range. The aggregate amount of such consideration received through September 30, 2019 totals $410.0 million.</w:t>
      </w:r>
    </w:p>
    <w:p>
      <w:pPr>
        <w:spacing w:after="0" w:line="18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fourth quarter of 2018, the Company was engaged in the final stages of review with its partners over the proposed development of roxadustat for the treatment of chemotherapy induced anemia (“CIA”). AstraZeneca and Astellas approved the program in December 2018 and January 2019, respectively. Costs associated with the development of this indication are expected to be shared 50/50 between AstraZeneca and Astellas. For revenue recognition purposes, the Company concluded that this new indication represents a modification to the Europe agreements and will be accounted for separately, meaning the development costs associated with the new indications are distinct from the original development costs. The development service period for roxadustat for the treatment of CIA under the Europe Agreement is estimated to continue through the end of 2023 to allow for development of this indication.</w:t>
      </w:r>
    </w:p>
    <w:p>
      <w:pPr>
        <w:spacing w:after="0" w:line="16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During the second quarter of 2019, the Company received positive topline results from analyses of pooled major adverse cardiac event (“MACE”) and MACE+ data from its Phase 3 trials evaluating roxadustat as a treatment for dialysis and non-dialysis CKD patients, enabling Astellas to prepare for an MAA submission to the EMA during their fiscal year 2019, which ends on March 31, 2020, following the Company’s NDA submission to the FDA. The Company evaluated the two regulatory milestone payments associated with the planned MAA submission and concluded that these milestones became probable of being achieved in the second quarter of 2019. Accordingly, the total consideration of $130.0 million associated with these milestones was included in the transaction price and allocated to performance obligations under the Europe Agreement in the second quarter of 2019, of which $129.0 million was recognized as revenue during the period from performance obligations satisfied or partially satisfied as of September 30, 2019. According to the Europe Agreement, these milestone payments are not billable to Astellas until the submission of an MAA, therefore this $130.0 million remained as an unbilled contract asset as of September 30, 2019.</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AstraZeneca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U.S./Rest of World (“RoW”) Agreement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Effective July 30, 2013, the Company entered into a collaboration agreement with AstraZeneca for the development and commercialization of roxadustat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treatment of anemia in the U.S. and all other countries in the world, other than China, not previously licensed under the Astellas Europe and Astellas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Japan Agreements (“U.S./RoW Agreement”). It also excludes China, which is covered by a separate agreement with AstraZeneca described below. Under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terms of the U.S./RoW Agreement, AstraZeneca paid upfront, non-contingent, non-refundable and time-based payments totaling $374.0 million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amounts were fully received as of June 2016). Under the U.S./RoW Agreement, the Company is also eligible to receive from AstraZeneca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approximately $875.0 million in potential milestone payments, comprised of (i) up to $65.0 million in milestone payments upon achievement of specified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clinical and development milestone events, $15.0 million of which was received in 2015 as a result of the finalization of its two audited pre-clinical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carcinogenicity study reports, (ii) up to $325.0 million in milestone payments upon achievement of specified regulatory milestone events, (iii)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$160.0 million in milestone payments related to activity by potential competitors and (iv) up to approximately $325.0 million in milestone payments upon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achievement of specified commercial sales events. The aggregate amount of such consideration received through September 30, 2019 totals $389.0 million.</w:t>
      </w:r>
    </w:p>
    <w:p>
      <w:pPr>
        <w:spacing w:after="0" w:line="23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mentioned above, during the second quarter of 2019, the Company received positive topline results from analyses of pooled MACE and MACE+ data from its Phase 3 trials for roxadustat, enabling the Company’s NDA submission to the FDA. The Company evaluated the regulatory milestone payment associated with this planned NDA submission and concluded that this milestone became probable of being achieved in the second quarter of 2019. Accordingly, the consideration of $50.0 million associated with this milestone was included in the transaction price and allocated to performance obligations under the U.S./ RoW Agreement in the second quarter of 2019, of which $42.1 million was recognized as revenue during the period from performance obligations satisfied or partially satisfied as of September 30, 2019. According to the U.S/RoW Agreement, this milestone payment is not billable to AstraZeneca until the Company has submitted the NDA, therefore this $50.0 million remained as an unbilled contract asset as of September 30,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Effective July 30, 2013, the Company (through its subsidiaries affiliated with China) entered into a collaboration agreement with AstraZeneca for the development and commercialization (but not manufacture) of roxadustat for the treatment of anemia in China (“China Agreement”). Under the terms of the China Agreement, AstraZeneca paid upfront, non-contingent and non-refundable payments totaling $28.2 million (such amounts were fully received in 2014). Under the China Agreement, the Company is also eligible to receive from AstraZeneca an aggregate of approximately $348.5 million in potential milestone payments, comprised of (i) up to $15.0 million in milestone payments upon achievement of specified clinical and development milestone events, (ii) up to $146.0 million in milestone payments upon achievement of specified regulatory milestone events, and (iii) up to approximately $187.5 million in milestone payments upon the achievement of specified commercial sales and other events. The China Agreement is structured as a 50/50 profit or loss share (as defined) and provides for joint development costs (including capital and equipment costs for construction of the manufacturing plant in China), to be shared equally during the development. The aggregate amount of such consideration received through September 30, 2019 totals $55.2 million.</w:t>
      </w:r>
    </w:p>
    <w:p>
      <w:pPr>
        <w:spacing w:after="0" w:line="16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mentioned above, in the fourth quarter of 2018, the Company was engaged in the final stages of review with its partners over the proposed development of roxadustat for the treatment of CIA. AstraZeneca and Astellas approved the program in December 2018 and January 2019, respectively. Costs associated with the development of this indication are expected to be shared 50/50 between AstraZeneca and Astellas. In addition to CIA, in December 2018, anemia of chronic inflammation (“ACI”) and multiple myeloma (“MM”) have been approved for development by AstraZeneca and is expected to be fully funded by them. For revenue recognition purposes, the Company concluded that the addition of these new indications represents a modification to the collaboration agreements and will be accounted for separately, meaning the development costs associated with the new indications are distinct from the original development costs. The development service period for roxadustat for the treatment of CIA, ACI and MM under the AstraZeneca agreements is estimated to continue through the end of 2024, to allow for development of these additional indications.</w:t>
      </w:r>
    </w:p>
    <w:p>
      <w:pPr>
        <w:spacing w:after="0" w:line="1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December 17, 2018, FibroGen (China) Medical Technology Development Co., Ltd. (“FibroGen Beijing”), received marketing authorization from the National Medical Products Administration (“NMPA”) for roxadustat, a first-in-class HIF-PH inhibitor, for the treatment of anemia caused by CKD in patients on dialysis. This approval triggered a $6.0 million milestone payable to the Company by AstraZeneca. On December 29, 2018, FibroGen Beijing received First Manufacturing Approval for a Product in the Field in the Territory, which allows production for Phase IV clinical studies, patients’ early experience programs, donation programs, as well as to supply products for testing and assessments required prior to launch. This approval triggered a $6.0 million milestone payable to the Company by AstraZeneca. These milestones payments were received in the first quarter of 2019.</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Revenue Recognized Under the Collaboration Agreements</w:t>
      </w:r>
    </w:p>
    <w:p>
      <w:pPr>
        <w:spacing w:after="0" w:line="121"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table below summarizes the accounting treatment for the various performance obligations pursuant to each of the Astellas and AstraZeneca agreements. License amounts identified below are included in the “License revenue” line item in the condensed consolidated statements of operations. All other elements identified below are included in the “Development and other revenue” line item in the condensed consolidated statements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Japan Agreement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38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Performance Obligation</w:t>
            </w:r>
          </w:p>
        </w:tc>
        <w:tc>
          <w:tcPr>
            <w:tcW w:w="25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1340" w:type="dxa"/>
            <w:vAlign w:val="bottom"/>
            <w:vMerge w:val="continue"/>
          </w:tcPr>
          <w:p>
            <w:pPr>
              <w:spacing w:after="0"/>
              <w:rPr>
                <w:sz w:val="13"/>
                <w:szCs w:val="13"/>
                <w:color w:val="auto"/>
              </w:rPr>
            </w:pPr>
          </w:p>
        </w:tc>
        <w:tc>
          <w:tcPr>
            <w:tcW w:w="3860" w:type="dxa"/>
            <w:vAlign w:val="bottom"/>
            <w:gridSpan w:val="3"/>
            <w:vMerge w:val="continue"/>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Japan</w:t>
            </w:r>
          </w:p>
        </w:tc>
        <w:tc>
          <w:tcPr>
            <w:tcW w:w="160" w:type="dxa"/>
            <w:vAlign w:val="bottom"/>
            <w:tcBorders>
              <w:top w:val="single" w:sz="8" w:color="CFF0FC"/>
            </w:tcBorders>
            <w:shd w:val="clear" w:color="auto" w:fill="CFF0FC"/>
          </w:tcPr>
          <w:p>
            <w:pPr>
              <w:spacing w:after="0"/>
              <w:rPr>
                <w:sz w:val="19"/>
                <w:szCs w:val="19"/>
                <w:color w:val="auto"/>
              </w:rPr>
            </w:pPr>
          </w:p>
        </w:tc>
        <w:tc>
          <w:tcPr>
            <w:tcW w:w="3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11,935</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11,935</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3860" w:type="dxa"/>
            <w:vAlign w:val="bottom"/>
            <w:gridSpan w:val="3"/>
          </w:tcPr>
          <w:p>
            <w:pPr>
              <w:ind w:left="160"/>
              <w:spacing w:after="0"/>
              <w:rPr>
                <w:sz w:val="20"/>
                <w:szCs w:val="20"/>
                <w:color w:val="auto"/>
              </w:rPr>
            </w:pPr>
            <w:r>
              <w:rPr>
                <w:rFonts w:ascii="Arial" w:cs="Arial" w:eastAsia="Arial" w:hAnsi="Arial"/>
                <w:sz w:val="18"/>
                <w:szCs w:val="18"/>
                <w:color w:val="auto"/>
              </w:rPr>
              <w:t>Development revenue</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537</w:t>
            </w:r>
          </w:p>
        </w:tc>
        <w:tc>
          <w:tcPr>
            <w:tcW w:w="126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474</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1,151</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 price related to consideration received and accounts receivable has been allocated to each of the following performance obligations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Japan Agreement, along with any associated deferred revenue as follows (in thousands):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3"/>
              </w:rPr>
              <w:t>Deferred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Japan Agreement</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3"/>
              </w:rPr>
              <w:t>Revenue at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2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September 30, 2019</w:t>
            </w:r>
          </w:p>
        </w:tc>
        <w:tc>
          <w:tcPr>
            <w:tcW w:w="20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8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86,024</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86,024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Development revenue</w:t>
            </w:r>
          </w:p>
        </w:tc>
        <w:tc>
          <w:tcPr>
            <w:tcW w:w="8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license and development revenue</w:t>
            </w:r>
          </w:p>
        </w:tc>
        <w:tc>
          <w:tcPr>
            <w:tcW w:w="8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101,084</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101,396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revenue recognized under the Japan Agreement for the three months ended September 30, 2019 included an increase in revenue of $12.3 million resulting from changes to estimated variable consideration in the current period relating to performance obligations satisfied or partially satisfied in previous periods. The remainder of the transaction price related to the Japan Agreement includes $0.2 million of variable consideration from estimated future co-development billing and is expected to be recognized over the remaining development service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Europe Agreement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Agreement</w:t>
            </w:r>
          </w:p>
        </w:tc>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Performance Obligation</w:t>
            </w:r>
          </w:p>
        </w:tc>
        <w:tc>
          <w:tcPr>
            <w:tcW w:w="160" w:type="dxa"/>
            <w:vAlign w:val="bottom"/>
          </w:tcPr>
          <w:p>
            <w:pPr>
              <w:spacing w:after="0"/>
              <w:rPr>
                <w:sz w:val="14"/>
                <w:szCs w:val="14"/>
                <w:color w:val="auto"/>
              </w:rPr>
            </w:pPr>
          </w:p>
        </w:tc>
        <w:tc>
          <w:tcPr>
            <w:tcW w:w="2940" w:type="dxa"/>
            <w:vAlign w:val="bottom"/>
            <w:gridSpan w:val="5"/>
          </w:tcPr>
          <w:p>
            <w:pPr>
              <w:jc w:val="right"/>
              <w:ind w:right="276"/>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1500" w:type="dxa"/>
            <w:vAlign w:val="bottom"/>
            <w:gridSpan w:val="2"/>
            <w:vMerge w:val="continue"/>
          </w:tcPr>
          <w:p>
            <w:pPr>
              <w:spacing w:after="0"/>
              <w:rPr>
                <w:sz w:val="13"/>
                <w:szCs w:val="13"/>
                <w:color w:val="auto"/>
              </w:rPr>
            </w:pPr>
          </w:p>
        </w:tc>
        <w:tc>
          <w:tcPr>
            <w:tcW w:w="3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Europe</w:t>
            </w:r>
          </w:p>
        </w:tc>
        <w:tc>
          <w:tcPr>
            <w:tcW w:w="160" w:type="dxa"/>
            <w:vAlign w:val="bottom"/>
            <w:tcBorders>
              <w:top w:val="single" w:sz="8" w:color="CFF0FC"/>
            </w:tcBorders>
            <w:shd w:val="clear" w:color="auto" w:fill="CFF0FC"/>
          </w:tcPr>
          <w:p>
            <w:pPr>
              <w:spacing w:after="0"/>
              <w:rPr>
                <w:sz w:val="19"/>
                <w:szCs w:val="19"/>
                <w:color w:val="auto"/>
              </w:rPr>
            </w:pPr>
          </w:p>
        </w:tc>
        <w:tc>
          <w:tcPr>
            <w:tcW w:w="3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117,470</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Development revenue</w:t>
            </w:r>
          </w:p>
        </w:tc>
        <w:tc>
          <w:tcPr>
            <w:tcW w:w="100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2,996</w:t>
            </w:r>
          </w:p>
        </w:tc>
        <w:tc>
          <w:tcPr>
            <w:tcW w:w="3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4,658</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24,463</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14,384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 price related to consideration received and accounts receivable has been allocated to each of the following performance obligations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Europe Agreement, along with any associated deferred revenue as follows (in thousands):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Cumulative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7"/>
              </w:rPr>
              <w:t>Deferred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Consideration</w:t>
            </w:r>
          </w:p>
        </w:tc>
        <w:tc>
          <w:tcPr>
            <w:tcW w:w="0" w:type="dxa"/>
            <w:vAlign w:val="bottom"/>
          </w:tcPr>
          <w:p>
            <w:pPr>
              <w:spacing w:after="0"/>
              <w:rPr>
                <w:sz w:val="1"/>
                <w:szCs w:val="1"/>
                <w:color w:val="auto"/>
              </w:rPr>
            </w:pPr>
          </w:p>
        </w:tc>
      </w:tr>
      <w:tr>
        <w:trPr>
          <w:trHeight w:val="149"/>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Europe Agreement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5"/>
              </w:rPr>
              <w:t>Through</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Revenue at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4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20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September 30,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487,951</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487,951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Development revenue</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227,300</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231,288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license and development revenue</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715,251</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3,988</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719,239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4"/>
          <w:szCs w:val="4"/>
          <w:color w:val="auto"/>
        </w:rPr>
        <w:t>_______________________________________________________________________________________________________</w:t>
      </w:r>
    </w:p>
    <w:p>
      <w:pPr>
        <w:spacing w:after="0" w:line="30" w:lineRule="exact"/>
        <w:rPr>
          <w:sz w:val="20"/>
          <w:szCs w:val="20"/>
          <w:color w:val="auto"/>
        </w:rPr>
      </w:pPr>
    </w:p>
    <w:p>
      <w:pPr>
        <w:jc w:val="both"/>
        <w:ind w:left="300" w:right="180" w:hanging="292"/>
        <w:spacing w:after="0" w:line="312" w:lineRule="auto"/>
        <w:tabs>
          <w:tab w:leader="none" w:pos="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Contract assets and liabilities related to rights and obligations in the same contract are recorded net on the condensed consolidated balance sheets. As of September 30, 2019, prepaid expenses and other current assets included a net unbilled contract asset of $126.0 million related to the Europe Agreement, which represents the net of the above-mentioned unbilled contract asset of $130.0 million, and $4.0 million of deferred revenue presented above.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revenue recognized under the Europe Agreement for the three months ended September 30, 2019 included a decrease in revenue of $2.9 million resulting from changes to estimated variable consideration in the current period relating to performance obligations satisfied or partially satisfied in previous periods. The remainder of the transaction price related to the Europe Agreement includes $42.4 million of variable consideration from estimated future co-development billing and is expected to be recognized over the remaining development service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U.S./RoW Agreement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Agreement</w:t>
            </w:r>
          </w:p>
        </w:tc>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Performance Obligation</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w w:val="98"/>
              </w:rPr>
              <w:t>Three Months Ended September 30,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1500" w:type="dxa"/>
            <w:vAlign w:val="bottom"/>
            <w:gridSpan w:val="2"/>
            <w:vMerge w:val="continue"/>
          </w:tcPr>
          <w:p>
            <w:pPr>
              <w:spacing w:after="0"/>
              <w:rPr>
                <w:sz w:val="13"/>
                <w:szCs w:val="13"/>
                <w:color w:val="auto"/>
              </w:rPr>
            </w:pPr>
          </w:p>
        </w:tc>
        <w:tc>
          <w:tcPr>
            <w:tcW w:w="3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U.S. / RoW</w:t>
            </w:r>
          </w:p>
        </w:tc>
        <w:tc>
          <w:tcPr>
            <w:tcW w:w="160" w:type="dxa"/>
            <w:vAlign w:val="bottom"/>
            <w:tcBorders>
              <w:top w:val="single" w:sz="8" w:color="CFF0FC"/>
            </w:tcBorders>
            <w:shd w:val="clear" w:color="auto" w:fill="CFF0FC"/>
          </w:tcPr>
          <w:p>
            <w:pPr>
              <w:spacing w:after="0"/>
              <w:rPr>
                <w:sz w:val="18"/>
                <w:szCs w:val="18"/>
                <w:color w:val="auto"/>
              </w:rPr>
            </w:pPr>
          </w:p>
        </w:tc>
        <w:tc>
          <w:tcPr>
            <w:tcW w:w="3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33,112</w:t>
            </w: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and China</w:t>
            </w:r>
          </w:p>
        </w:tc>
        <w:tc>
          <w:tcPr>
            <w:tcW w:w="3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Development revenue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17,106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23,895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59,872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74,096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China performance obligation</w:t>
            </w:r>
          </w:p>
        </w:tc>
        <w:tc>
          <w:tcPr>
            <w:tcW w:w="3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 price related to consideration received and accounts receivable has been allocated to each of the following performance obligations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U.S./RoW Agreement and China Agreement, along with any associated deferred revenue as follows (in thousands):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138"/>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vMerge w:val="restart"/>
          </w:tcPr>
          <w:p>
            <w:pPr>
              <w:jc w:val="center"/>
              <w:ind w:right="430"/>
              <w:spacing w:after="0"/>
              <w:rPr>
                <w:sz w:val="20"/>
                <w:szCs w:val="20"/>
                <w:color w:val="auto"/>
              </w:rPr>
            </w:pPr>
            <w:r>
              <w:rPr>
                <w:rFonts w:ascii="Arial" w:cs="Arial" w:eastAsia="Arial" w:hAnsi="Arial"/>
                <w:sz w:val="14"/>
                <w:szCs w:val="14"/>
                <w:b w:val="1"/>
                <w:bCs w:val="1"/>
                <w:color w:val="auto"/>
                <w:w w:val="97"/>
              </w:rPr>
              <w:t>Deferred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9"/>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 RoW and China Agreements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30"/>
              <w:spacing w:after="0" w:line="149" w:lineRule="exact"/>
              <w:rPr>
                <w:sz w:val="20"/>
                <w:szCs w:val="20"/>
                <w:color w:val="auto"/>
              </w:rPr>
            </w:pPr>
            <w:r>
              <w:rPr>
                <w:rFonts w:ascii="Arial" w:cs="Arial" w:eastAsia="Arial" w:hAnsi="Arial"/>
                <w:sz w:val="14"/>
                <w:szCs w:val="14"/>
                <w:b w:val="1"/>
                <w:bCs w:val="1"/>
                <w:color w:val="auto"/>
                <w:w w:val="90"/>
              </w:rPr>
              <w:t>Revenue at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45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22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2019</w:t>
            </w:r>
          </w:p>
        </w:tc>
        <w:tc>
          <w:tcPr>
            <w:tcW w:w="2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327,275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327,275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Co-development, information sharing &amp;</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ind w:left="80"/>
              <w:spacing w:after="0"/>
              <w:rPr>
                <w:sz w:val="20"/>
                <w:szCs w:val="20"/>
                <w:color w:val="auto"/>
              </w:rPr>
            </w:pPr>
            <w:r>
              <w:rPr>
                <w:rFonts w:ascii="Arial" w:cs="Arial" w:eastAsia="Arial" w:hAnsi="Arial"/>
                <w:sz w:val="18"/>
                <w:szCs w:val="18"/>
                <w:color w:val="auto"/>
              </w:rPr>
              <w:t>committee services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468,509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11,317</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479,826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China performance obligation</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137,330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Total license and development revenue</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795,803</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148,647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944,450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4"/>
          <w:szCs w:val="4"/>
          <w:color w:val="auto"/>
        </w:rPr>
        <w:t>_______________________________________________________________________________________________________</w:t>
      </w:r>
    </w:p>
    <w:p>
      <w:pPr>
        <w:ind w:left="380" w:right="100" w:hanging="372"/>
        <w:spacing w:after="0" w:line="280"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Contract assets and liabilities related to rights and obligations in the same contract are recorded net on the condensed consolidated balance sheets. As of September 30, 2019, long-term deferred revenue included $98.6 million related to the U.S./RoW and China Agreement, which represents the net of $148.6 million of deferred revenue presented above and the above-mentioned $50.0 million unbilled contract asset.</w:t>
      </w:r>
    </w:p>
    <w:p>
      <w:pPr>
        <w:spacing w:after="0" w:line="16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revenue recognized under the U.S./RoW Agreement for the three months ended September 30, 2019 included an increase in revenue of $3.5 million resulting from changes to estimated variable consideration in the current period relating to performance obligations satisfied or partially satisfied in previous periods. The remainder of the transaction price related to the U.S./RoW Agreement and China Agreement includes $186.6 million of variable consideration from estimated future co-development billing and is expected to be recognized over the remaining development service period, except for amounts allocated to the China performance obligation, which are expected to be recognized in a pattern consistent with estimated deliveries of the commercial drug product.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third quarter of 2019, the Company started commercial sales of roxadustat drug product in China, and recognized related product revenue of $0.6 million in the same period, which was net of immaterial contractual sales discounts.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revenues consist primarily of collagen material sold for research purposes. Other revenues were immaterial for all periods presented.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Deferred revenue represents amounts billed, or in certain cases, yet to be billed to the Company’s collaboration partners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performance obligations. The long term portion of deferred revenue represents amounts to be recognized after one year through the end of the non-contingent performance period of the underlying performance obligations.</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Deferred revenue includes amounts allocated to the China unit of accounting under the AstraZeneca arrangement as revenue recognition associated with this unit of accounting is tied to the commercial launch of the products within China. As of December 31, 2018, such deferred revenue was included in long-term deferred revenue. As of September 30, 2019, following receipt of the Chinese Good Manufacturing Practices license by FibroGen Beijing in the second quarter of 2019, approximately $0.7 million of the related deferred revenue was included in short-term deferred revenue, which represents the amount of deferred revenue associated with the China unit of accounting that is expected to be recognized as a result of the transfer of control of commercial drug product in China.</w:t>
      </w:r>
    </w:p>
    <w:p>
      <w:pPr>
        <w:spacing w:after="0" w:line="297"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assets that are measured on a recurring basis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September 30, 2019</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200" w:type="dxa"/>
            <w:vAlign w:val="bottom"/>
          </w:tcPr>
          <w:p>
            <w:pPr>
              <w:jc w:val="right"/>
              <w:ind w:right="454"/>
              <w:spacing w:after="0" w:line="155"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3"/>
                <w:szCs w:val="13"/>
                <w:color w:val="auto"/>
              </w:rPr>
            </w:pPr>
          </w:p>
        </w:tc>
        <w:tc>
          <w:tcPr>
            <w:tcW w:w="1160" w:type="dxa"/>
            <w:vAlign w:val="bottom"/>
          </w:tcPr>
          <w:p>
            <w:pPr>
              <w:jc w:val="right"/>
              <w:ind w:right="96"/>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3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notes and bills</w:t>
            </w:r>
          </w:p>
        </w:tc>
        <w:tc>
          <w:tcPr>
            <w:tcW w:w="1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226,590</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175,450</w:t>
            </w:r>
          </w:p>
        </w:tc>
        <w:tc>
          <w:tcPr>
            <w:tcW w:w="2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97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402,040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Bond and mutual funds</w:t>
            </w: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10,748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1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Money market funds</w:t>
            </w: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105,822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105,822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w:t>
            </w:r>
          </w:p>
        </w:tc>
        <w:tc>
          <w:tcPr>
            <w:tcW w:w="1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26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343,411</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205,450</w:t>
            </w:r>
          </w:p>
        </w:tc>
        <w:tc>
          <w:tcPr>
            <w:tcW w:w="2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548,861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December 31, 2018</w:t>
            </w: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180" w:type="dxa"/>
            <w:vAlign w:val="bottom"/>
            <w:vMerge w:val="restart"/>
          </w:tcPr>
          <w:p>
            <w:pPr>
              <w:spacing w:after="0"/>
              <w:rPr>
                <w:sz w:val="20"/>
                <w:szCs w:val="20"/>
                <w:color w:val="auto"/>
              </w:rPr>
            </w:pPr>
            <w:r>
              <w:rPr>
                <w:rFonts w:ascii="Arial" w:cs="Arial" w:eastAsia="Arial" w:hAnsi="Arial"/>
                <w:sz w:val="18"/>
                <w:szCs w:val="18"/>
                <w:color w:val="auto"/>
              </w:rPr>
              <w:t>US treasury notes and bills</w:t>
            </w: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200" w:type="dxa"/>
            <w:vAlign w:val="bottom"/>
          </w:tcPr>
          <w:p>
            <w:pPr>
              <w:jc w:val="right"/>
              <w:ind w:right="454"/>
              <w:spacing w:after="0" w:line="155"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3"/>
                <w:szCs w:val="13"/>
                <w:color w:val="auto"/>
              </w:rPr>
            </w:pPr>
          </w:p>
        </w:tc>
        <w:tc>
          <w:tcPr>
            <w:tcW w:w="1160" w:type="dxa"/>
            <w:vAlign w:val="bottom"/>
          </w:tcPr>
          <w:p>
            <w:pPr>
              <w:jc w:val="right"/>
              <w:ind w:right="96"/>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3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18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292,317</w:t>
            </w:r>
          </w:p>
        </w:tc>
        <w:tc>
          <w:tcPr>
            <w:tcW w:w="26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224,953</w:t>
            </w:r>
          </w:p>
        </w:tc>
        <w:tc>
          <w:tcPr>
            <w:tcW w:w="260" w:type="dxa"/>
            <w:vAlign w:val="bottom"/>
          </w:tcPr>
          <w:p>
            <w:pPr>
              <w:spacing w:after="0"/>
              <w:rPr>
                <w:sz w:val="19"/>
                <w:szCs w:val="19"/>
                <w:color w:val="auto"/>
              </w:rPr>
            </w:pPr>
          </w:p>
        </w:tc>
        <w:tc>
          <w:tcPr>
            <w:tcW w:w="1160" w:type="dxa"/>
            <w:vAlign w:val="bottom"/>
            <w:tcBorders>
              <w:top w:val="single" w:sz="8" w:color="auto"/>
            </w:tcBorders>
          </w:tcPr>
          <w:p>
            <w:pPr>
              <w:jc w:val="right"/>
              <w:ind w:right="97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517,270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Bond and mutual funds</w:t>
            </w:r>
          </w:p>
        </w:tc>
        <w:tc>
          <w:tcPr>
            <w:tcW w:w="1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10,484</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Equity investments</w:t>
            </w: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Term deposit</w:t>
            </w: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80,000</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w:t>
            </w:r>
          </w:p>
        </w:tc>
        <w:tc>
          <w:tcPr>
            <w:tcW w:w="1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29,910</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26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303,576</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334,863</w:t>
            </w:r>
          </w:p>
        </w:tc>
        <w:tc>
          <w:tcPr>
            <w:tcW w:w="2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638,439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Our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liabilities that are carried at historical cost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1"/>
              </w:rPr>
              <w:t>September 30, 2019</w:t>
            </w:r>
          </w:p>
        </w:tc>
        <w:tc>
          <w:tcPr>
            <w:tcW w:w="1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20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3"/>
                <w:szCs w:val="13"/>
                <w:color w:val="auto"/>
              </w:rPr>
            </w:pPr>
          </w:p>
        </w:tc>
        <w:tc>
          <w:tcPr>
            <w:tcW w:w="118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obligations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w:t>
            </w:r>
          </w:p>
        </w:tc>
        <w:tc>
          <w:tcPr>
            <w:tcW w:w="120" w:type="dxa"/>
            <w:vAlign w:val="bottom"/>
            <w:tcBorders>
              <w:top w:val="single" w:sz="8" w:color="CFF0FC"/>
            </w:tcBorders>
            <w:shd w:val="clear" w:color="auto" w:fill="CFF0FC"/>
          </w:tcPr>
          <w:p>
            <w:pPr>
              <w:spacing w:after="0"/>
              <w:rPr>
                <w:sz w:val="19"/>
                <w:szCs w:val="19"/>
                <w:color w:val="auto"/>
              </w:rPr>
            </w:pPr>
          </w:p>
        </w:tc>
      </w:tr>
      <w:tr>
        <w:trPr>
          <w:trHeight w:val="392"/>
        </w:trPr>
        <w:tc>
          <w:tcPr>
            <w:tcW w:w="44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3"/>
              </w:rPr>
              <w:t>December 31, 2018</w:t>
            </w: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4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20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3"/>
                <w:szCs w:val="13"/>
                <w:color w:val="auto"/>
              </w:rPr>
            </w:pPr>
          </w:p>
        </w:tc>
        <w:tc>
          <w:tcPr>
            <w:tcW w:w="118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obligations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98,105</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98,105</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fair values of the Company’s financial liabilities were derived by using an income approach, which required Level 3 inputs such as discounted estimated future cash flows.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As of December 31, 2018, the Company had $96.2 million in lease obligations related to its building leases under build-to-suit arrangements. Upon the adoption of ASC 842 as of January 1, 2019, using the modified retrospective transition method, the Company derecognized these liabilities previously recognized under ASC 840 build-to-suit designation. Refer to Note 1 for details.</w:t>
      </w:r>
    </w:p>
    <w:p>
      <w:pPr>
        <w:spacing w:after="0" w:line="181"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The remaining balance of $1.6 million as of September 30, 2019 under lease obligations is related to an expansion option in the Company’s long-term property lease with Shorenstein Properties LLC (“Alexandria” or “landlord”). This expansion option allowed the Company to occupy part of an adjacent building within 31 months of the lease commencement date in 2008. In 2012, the Company gave notice to its landlord that it would not exercise this expansion option, which resulted in a $5.0 million payment liability to the landlord that is financed over the remaining lease term to 2023.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assets or liabilities between levels for any of the periods presented.</w:t>
      </w:r>
    </w:p>
    <w:p>
      <w:pPr>
        <w:spacing w:after="0" w:line="370"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has two building leases treated as finance leases.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2006, the Company entered into a long-term property lease with Alexandria for its corporate headquarters in San Francisco, California, with an initial term of 15 years, scheduled to expire in 2023. The Company has an option to extend the lease for an additional 10 years through 2033. The lease contract provides for a fixed annual rent, with scheduled increases of two percent that occur on each anniversary of the rent commencement date. This lease requires the Company to pay all costs of ownership, operation, and maintenance of the premises, including without limitation all operating costs, insurance costs, and taxes.</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2013, the Company entered into a long-term property lease with Beijing Economic-Technological Development Area (“BDA”) Management Committee for a pilot plant located in Beijing Yizhuang Biomedical Park (“BYBP”) of BDA. The building is leased for an initial lease term of eight years, scheduled to expire in 2021. Renewal options are not specified within the lease contract. The lease contract provides for fixed quarterly rent payments, with scheduled increases that occur as detailed in the lease contract. This lease requires the Company to pay all operating and maintenance costs, and a fixed amount for property management fees.</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currently has six additional real estate leases for space within a building, which are treated as operating leases. These leases have lease terms ranging from two to four years. These lease contracts provide for fixed quarterly rent payments, and require the Company to pay operating and maintenance costs, and a fixed amount for property management fees.</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the Company has several immaterial lease arrangements for office equipment, scientific devices and automobile leases, with contracted lease terms ranging from two to five years, treated as finance leases or operating leases, respectively.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Company’s lease assets and related lease liabilities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60" w:type="dxa"/>
            <w:vAlign w:val="bottom"/>
            <w:gridSpan w:val="3"/>
          </w:tcPr>
          <w:p>
            <w:pPr>
              <w:ind w:left="960"/>
              <w:spacing w:after="0"/>
              <w:rPr>
                <w:sz w:val="20"/>
                <w:szCs w:val="20"/>
                <w:color w:val="auto"/>
              </w:rPr>
            </w:pPr>
            <w:r>
              <w:rPr>
                <w:rFonts w:ascii="Arial" w:cs="Arial" w:eastAsia="Arial" w:hAnsi="Arial"/>
                <w:sz w:val="14"/>
                <w:szCs w:val="14"/>
                <w:b w:val="1"/>
                <w:bCs w:val="1"/>
                <w:color w:val="auto"/>
              </w:rPr>
              <w:t>Balance Sheet Line Item</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3"/>
              </w:rPr>
              <w:t>September 30, 2019</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2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right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Finance:</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Right-of-use assets - cost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49,784</w:t>
            </w:r>
          </w:p>
        </w:tc>
        <w:tc>
          <w:tcPr>
            <w:tcW w:w="100" w:type="dxa"/>
            <w:vAlign w:val="bottom"/>
            <w:tcBorders>
              <w:right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40" w:type="dxa"/>
            <w:vAlign w:val="bottom"/>
            <w:gridSpan w:val="2"/>
          </w:tcPr>
          <w:p>
            <w:pPr>
              <w:ind w:left="120"/>
              <w:spacing w:after="0"/>
              <w:rPr>
                <w:sz w:val="20"/>
                <w:szCs w:val="20"/>
                <w:color w:val="auto"/>
              </w:rPr>
            </w:pPr>
            <w:r>
              <w:rPr>
                <w:rFonts w:ascii="Arial" w:cs="Arial" w:eastAsia="Arial" w:hAnsi="Arial"/>
                <w:sz w:val="18"/>
                <w:szCs w:val="18"/>
                <w:color w:val="auto"/>
              </w:rPr>
              <w:t>Accumulated amortization</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5"/>
          </w:tcPr>
          <w:p>
            <w:pPr>
              <w:jc w:val="right"/>
              <w:ind w:right="40"/>
              <w:spacing w:after="0"/>
              <w:rPr>
                <w:sz w:val="20"/>
                <w:szCs w:val="20"/>
                <w:color w:val="auto"/>
              </w:rPr>
            </w:pPr>
            <w:r>
              <w:rPr>
                <w:rFonts w:ascii="Arial" w:cs="Arial" w:eastAsia="Arial" w:hAnsi="Arial"/>
                <w:sz w:val="18"/>
                <w:szCs w:val="18"/>
                <w:color w:val="auto"/>
              </w:rPr>
              <w:t>(7,720)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4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Finance lease right-of-use assets, net</w:t>
            </w:r>
          </w:p>
        </w:tc>
        <w:tc>
          <w:tcPr>
            <w:tcW w:w="200" w:type="dxa"/>
            <w:vAlign w:val="bottom"/>
            <w:tcBorders>
              <w:top w:val="single" w:sz="8" w:color="CFF0FC"/>
            </w:tcBorders>
            <w:shd w:val="clear" w:color="auto" w:fill="CFF0FC"/>
          </w:tcPr>
          <w:p>
            <w:pPr>
              <w:spacing w:after="0"/>
              <w:rPr>
                <w:sz w:val="19"/>
                <w:szCs w:val="19"/>
                <w:color w:val="auto"/>
              </w:rPr>
            </w:pPr>
          </w:p>
        </w:tc>
        <w:tc>
          <w:tcPr>
            <w:tcW w:w="4060" w:type="dxa"/>
            <w:vAlign w:val="bottom"/>
            <w:tcBorders>
              <w:top w:val="single" w:sz="8" w:color="CFF0FC"/>
            </w:tcBorders>
            <w:gridSpan w:val="3"/>
            <w:shd w:val="clear" w:color="auto" w:fill="CFF0FC"/>
          </w:tcPr>
          <w:p>
            <w:pPr>
              <w:ind w:left="960"/>
              <w:spacing w:after="0"/>
              <w:rPr>
                <w:sz w:val="20"/>
                <w:szCs w:val="20"/>
                <w:color w:val="auto"/>
              </w:rPr>
            </w:pPr>
            <w:r>
              <w:rPr>
                <w:rFonts w:ascii="Arial" w:cs="Arial" w:eastAsia="Arial" w:hAnsi="Arial"/>
                <w:sz w:val="18"/>
                <w:szCs w:val="18"/>
                <w:color w:val="auto"/>
              </w:rPr>
              <w:t>Finance lease right-of-use assets</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42,064</w:t>
            </w:r>
          </w:p>
        </w:tc>
        <w:tc>
          <w:tcPr>
            <w:tcW w:w="100" w:type="dxa"/>
            <w:vAlign w:val="bottom"/>
            <w:tcBorders>
              <w:top w:val="single" w:sz="8" w:color="CFF0FC"/>
              <w:right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Operating:</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Right-of-use assets - cost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2,723</w:t>
            </w:r>
          </w:p>
        </w:tc>
        <w:tc>
          <w:tcPr>
            <w:tcW w:w="100" w:type="dxa"/>
            <w:vAlign w:val="bottom"/>
            <w:tcBorders>
              <w:right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40" w:type="dxa"/>
            <w:vAlign w:val="bottom"/>
            <w:gridSpan w:val="2"/>
          </w:tcPr>
          <w:p>
            <w:pPr>
              <w:ind w:left="120"/>
              <w:spacing w:after="0"/>
              <w:rPr>
                <w:sz w:val="20"/>
                <w:szCs w:val="20"/>
                <w:color w:val="auto"/>
              </w:rPr>
            </w:pPr>
            <w:r>
              <w:rPr>
                <w:rFonts w:ascii="Arial" w:cs="Arial" w:eastAsia="Arial" w:hAnsi="Arial"/>
                <w:sz w:val="18"/>
                <w:szCs w:val="18"/>
                <w:color w:val="auto"/>
              </w:rPr>
              <w:t>Accumulated amortization</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5"/>
          </w:tcPr>
          <w:p>
            <w:pPr>
              <w:jc w:val="right"/>
              <w:ind w:right="40"/>
              <w:spacing w:after="0"/>
              <w:rPr>
                <w:sz w:val="20"/>
                <w:szCs w:val="20"/>
                <w:color w:val="auto"/>
              </w:rPr>
            </w:pPr>
            <w:r>
              <w:rPr>
                <w:rFonts w:ascii="Arial" w:cs="Arial" w:eastAsia="Arial" w:hAnsi="Arial"/>
                <w:sz w:val="18"/>
                <w:szCs w:val="18"/>
                <w:color w:val="auto"/>
              </w:rPr>
              <w:t>(531)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40" w:type="dxa"/>
            <w:vAlign w:val="bottom"/>
            <w:tcBorders>
              <w:top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w w:val="93"/>
              </w:rPr>
              <w:t>Operating lease right-of-use assets, net</w:t>
            </w:r>
          </w:p>
        </w:tc>
        <w:tc>
          <w:tcPr>
            <w:tcW w:w="200" w:type="dxa"/>
            <w:vAlign w:val="bottom"/>
            <w:tcBorders>
              <w:top w:val="single" w:sz="8" w:color="CFF0FC"/>
            </w:tcBorders>
            <w:shd w:val="clear" w:color="auto" w:fill="CFF0FC"/>
          </w:tcPr>
          <w:p>
            <w:pPr>
              <w:spacing w:after="0"/>
              <w:rPr>
                <w:sz w:val="19"/>
                <w:szCs w:val="19"/>
                <w:color w:val="auto"/>
              </w:rPr>
            </w:pPr>
          </w:p>
        </w:tc>
        <w:tc>
          <w:tcPr>
            <w:tcW w:w="4060" w:type="dxa"/>
            <w:vAlign w:val="bottom"/>
            <w:tcBorders>
              <w:top w:val="single" w:sz="8" w:color="CFF0FC"/>
            </w:tcBorders>
            <w:gridSpan w:val="3"/>
            <w:shd w:val="clear" w:color="auto" w:fill="CFF0FC"/>
          </w:tcPr>
          <w:p>
            <w:pPr>
              <w:ind w:left="960"/>
              <w:spacing w:after="0"/>
              <w:rPr>
                <w:sz w:val="20"/>
                <w:szCs w:val="20"/>
                <w:color w:val="auto"/>
              </w:rPr>
            </w:pPr>
            <w:r>
              <w:rPr>
                <w:rFonts w:ascii="Arial" w:cs="Arial" w:eastAsia="Arial" w:hAnsi="Arial"/>
                <w:sz w:val="18"/>
                <w:szCs w:val="18"/>
                <w:color w:val="auto"/>
              </w:rPr>
              <w:t>Other assets</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2,192</w:t>
            </w:r>
          </w:p>
        </w:tc>
        <w:tc>
          <w:tcPr>
            <w:tcW w:w="100" w:type="dxa"/>
            <w:vAlign w:val="bottom"/>
            <w:tcBorders>
              <w:top w:val="single" w:sz="8" w:color="CFF0FC"/>
              <w:right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580" w:type="dxa"/>
            <w:vAlign w:val="bottom"/>
            <w:tcBorders>
              <w:bottom w:val="single" w:sz="8" w:color="CFF0FC"/>
            </w:tcBorders>
          </w:tcPr>
          <w:p>
            <w:pPr>
              <w:spacing w:after="0"/>
              <w:rPr>
                <w:sz w:val="22"/>
                <w:szCs w:val="22"/>
                <w:color w:val="auto"/>
              </w:rPr>
            </w:pPr>
          </w:p>
        </w:tc>
        <w:tc>
          <w:tcPr>
            <w:tcW w:w="2760" w:type="dxa"/>
            <w:vAlign w:val="bottom"/>
            <w:tcBorders>
              <w:bottom w:val="single" w:sz="8" w:color="CFF0FC"/>
            </w:tcBorders>
          </w:tcPr>
          <w:p>
            <w:pPr>
              <w:jc w:val="right"/>
              <w:ind w:right="1390"/>
              <w:spacing w:after="0"/>
              <w:rPr>
                <w:sz w:val="20"/>
                <w:szCs w:val="20"/>
                <w:color w:val="auto"/>
              </w:rPr>
            </w:pPr>
            <w:r>
              <w:rPr>
                <w:rFonts w:ascii="Arial" w:cs="Arial" w:eastAsia="Arial" w:hAnsi="Arial"/>
                <w:sz w:val="18"/>
                <w:szCs w:val="18"/>
                <w:color w:val="auto"/>
                <w:w w:val="86"/>
              </w:rPr>
              <w:t>Total lease assets</w:t>
            </w:r>
          </w:p>
        </w:tc>
        <w:tc>
          <w:tcPr>
            <w:tcW w:w="200" w:type="dxa"/>
            <w:vAlign w:val="bottom"/>
            <w:tcBorders>
              <w:bottom w:val="single" w:sz="8" w:color="CFF0FC"/>
            </w:tcBorders>
          </w:tcPr>
          <w:p>
            <w:pPr>
              <w:spacing w:after="0"/>
              <w:rPr>
                <w:sz w:val="22"/>
                <w:szCs w:val="22"/>
                <w:color w:val="auto"/>
              </w:rPr>
            </w:pPr>
          </w:p>
        </w:tc>
        <w:tc>
          <w:tcPr>
            <w:tcW w:w="960" w:type="dxa"/>
            <w:vAlign w:val="bottom"/>
            <w:tcBorders>
              <w:bottom w:val="single" w:sz="8" w:color="CFF0FC"/>
            </w:tcBorders>
          </w:tcPr>
          <w:p>
            <w:pPr>
              <w:spacing w:after="0"/>
              <w:rPr>
                <w:sz w:val="22"/>
                <w:szCs w:val="22"/>
                <w:color w:val="auto"/>
              </w:rPr>
            </w:pPr>
          </w:p>
        </w:tc>
        <w:tc>
          <w:tcPr>
            <w:tcW w:w="290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20" w:type="dxa"/>
            <w:vAlign w:val="bottom"/>
            <w:tcBorders>
              <w:bottom w:val="single" w:sz="8" w:color="CFF0FC"/>
            </w:tcBorders>
          </w:tcPr>
          <w:p>
            <w:pPr>
              <w:spacing w:after="0"/>
              <w:rPr>
                <w:sz w:val="22"/>
                <w:szCs w:val="22"/>
                <w:color w:val="auto"/>
              </w:rPr>
            </w:pPr>
          </w:p>
        </w:tc>
        <w:tc>
          <w:tcPr>
            <w:tcW w:w="7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44,256</w:t>
            </w:r>
          </w:p>
        </w:tc>
        <w:tc>
          <w:tcPr>
            <w:tcW w:w="100" w:type="dxa"/>
            <w:vAlign w:val="bottom"/>
            <w:tcBorders>
              <w:bottom w:val="single" w:sz="8" w:color="CFF0FC"/>
            </w:tcBorders>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40" w:type="dxa"/>
            <w:vAlign w:val="bottom"/>
            <w:gridSpan w:val="2"/>
          </w:tcPr>
          <w:p>
            <w:pPr>
              <w:ind w:left="120"/>
              <w:spacing w:after="0"/>
              <w:rPr>
                <w:sz w:val="20"/>
                <w:szCs w:val="20"/>
                <w:color w:val="auto"/>
              </w:rPr>
            </w:pPr>
            <w:r>
              <w:rPr>
                <w:rFonts w:ascii="Arial" w:cs="Arial" w:eastAsia="Arial" w:hAnsi="Arial"/>
                <w:sz w:val="18"/>
                <w:szCs w:val="18"/>
                <w:color w:val="auto"/>
              </w:rPr>
              <w:t>Finance lease liabilities</w:t>
            </w:r>
          </w:p>
        </w:tc>
        <w:tc>
          <w:tcPr>
            <w:tcW w:w="200" w:type="dxa"/>
            <w:vAlign w:val="bottom"/>
          </w:tcPr>
          <w:p>
            <w:pPr>
              <w:spacing w:after="0"/>
              <w:rPr>
                <w:sz w:val="19"/>
                <w:szCs w:val="19"/>
                <w:color w:val="auto"/>
              </w:rPr>
            </w:pPr>
          </w:p>
        </w:tc>
        <w:tc>
          <w:tcPr>
            <w:tcW w:w="4060" w:type="dxa"/>
            <w:vAlign w:val="bottom"/>
            <w:gridSpan w:val="3"/>
          </w:tcPr>
          <w:p>
            <w:pPr>
              <w:ind w:left="960"/>
              <w:spacing w:after="0"/>
              <w:rPr>
                <w:sz w:val="20"/>
                <w:szCs w:val="20"/>
                <w:color w:val="auto"/>
              </w:rPr>
            </w:pPr>
            <w:r>
              <w:rPr>
                <w:rFonts w:ascii="Arial" w:cs="Arial" w:eastAsia="Arial" w:hAnsi="Arial"/>
                <w:sz w:val="18"/>
                <w:szCs w:val="18"/>
                <w:color w:val="auto"/>
              </w:rPr>
              <w:t>Finance lease liabilities, current</w:t>
            </w:r>
          </w:p>
        </w:tc>
        <w:tc>
          <w:tcPr>
            <w:tcW w:w="100" w:type="dxa"/>
            <w:vAlign w:val="bottom"/>
          </w:tcPr>
          <w:p>
            <w:pPr>
              <w:spacing w:after="0"/>
              <w:rPr>
                <w:sz w:val="19"/>
                <w:szCs w:val="19"/>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12,149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FF0FC"/>
          </w:tcPr>
          <w:p>
            <w:pPr>
              <w:spacing w:after="0"/>
              <w:rPr>
                <w:sz w:val="19"/>
                <w:szCs w:val="19"/>
                <w:color w:val="auto"/>
              </w:rPr>
            </w:pPr>
          </w:p>
        </w:tc>
        <w:tc>
          <w:tcPr>
            <w:tcW w:w="4060" w:type="dxa"/>
            <w:vAlign w:val="bottom"/>
            <w:gridSpan w:val="3"/>
            <w:shd w:val="clear" w:color="auto" w:fill="CFF0FC"/>
          </w:tcPr>
          <w:p>
            <w:pPr>
              <w:ind w:left="960"/>
              <w:spacing w:after="0"/>
              <w:rPr>
                <w:sz w:val="20"/>
                <w:szCs w:val="20"/>
                <w:color w:val="auto"/>
              </w:rPr>
            </w:pPr>
            <w:r>
              <w:rPr>
                <w:rFonts w:ascii="Arial" w:cs="Arial" w:eastAsia="Arial" w:hAnsi="Arial"/>
                <w:sz w:val="18"/>
                <w:szCs w:val="18"/>
                <w:color w:val="auto"/>
              </w:rPr>
              <w:t>Accrued and other current liabilities</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998</w:t>
            </w:r>
          </w:p>
        </w:tc>
        <w:tc>
          <w:tcPr>
            <w:tcW w:w="100" w:type="dxa"/>
            <w:vAlign w:val="bottom"/>
            <w:tcBorders>
              <w:right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Non-current:</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Finance lease liabilities</w:t>
            </w:r>
          </w:p>
        </w:tc>
        <w:tc>
          <w:tcPr>
            <w:tcW w:w="200" w:type="dxa"/>
            <w:vAlign w:val="bottom"/>
            <w:shd w:val="clear" w:color="auto" w:fill="CFF0FC"/>
          </w:tcPr>
          <w:p>
            <w:pPr>
              <w:spacing w:after="0"/>
              <w:rPr>
                <w:sz w:val="19"/>
                <w:szCs w:val="19"/>
                <w:color w:val="auto"/>
              </w:rPr>
            </w:pPr>
          </w:p>
        </w:tc>
        <w:tc>
          <w:tcPr>
            <w:tcW w:w="4060" w:type="dxa"/>
            <w:vAlign w:val="bottom"/>
            <w:gridSpan w:val="3"/>
            <w:shd w:val="clear" w:color="auto" w:fill="CFF0FC"/>
          </w:tcPr>
          <w:p>
            <w:pPr>
              <w:ind w:left="960"/>
              <w:spacing w:after="0"/>
              <w:rPr>
                <w:sz w:val="20"/>
                <w:szCs w:val="20"/>
                <w:color w:val="auto"/>
              </w:rPr>
            </w:pPr>
            <w:r>
              <w:rPr>
                <w:rFonts w:ascii="Arial" w:cs="Arial" w:eastAsia="Arial" w:hAnsi="Arial"/>
                <w:sz w:val="18"/>
                <w:szCs w:val="18"/>
                <w:color w:val="auto"/>
              </w:rPr>
              <w:t>Finance lease liabilities, non-current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40,713</w:t>
            </w:r>
          </w:p>
        </w:tc>
        <w:tc>
          <w:tcPr>
            <w:tcW w:w="100" w:type="dxa"/>
            <w:vAlign w:val="bottom"/>
            <w:tcBorders>
              <w:right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4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Operating lease liabilities</w:t>
            </w:r>
          </w:p>
        </w:tc>
        <w:tc>
          <w:tcPr>
            <w:tcW w:w="200" w:type="dxa"/>
            <w:vAlign w:val="bottom"/>
            <w:tcBorders>
              <w:bottom w:val="single" w:sz="8" w:color="CFF0FC"/>
            </w:tcBorders>
          </w:tcPr>
          <w:p>
            <w:pPr>
              <w:spacing w:after="0"/>
              <w:rPr>
                <w:sz w:val="19"/>
                <w:szCs w:val="19"/>
                <w:color w:val="auto"/>
              </w:rPr>
            </w:pPr>
          </w:p>
        </w:tc>
        <w:tc>
          <w:tcPr>
            <w:tcW w:w="4060" w:type="dxa"/>
            <w:vAlign w:val="bottom"/>
            <w:tcBorders>
              <w:bottom w:val="single" w:sz="8" w:color="CFF0FC"/>
            </w:tcBorders>
            <w:gridSpan w:val="3"/>
          </w:tcPr>
          <w:p>
            <w:pPr>
              <w:ind w:left="960"/>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FF0FC"/>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40" w:type="dxa"/>
            <w:vAlign w:val="bottom"/>
            <w:tcBorders>
              <w:bottom w:val="single" w:sz="8" w:color="CFF0FC"/>
            </w:tcBorders>
            <w:gridSpan w:val="2"/>
            <w:shd w:val="clear" w:color="auto" w:fill="CFF0FC"/>
          </w:tcPr>
          <w:p>
            <w:pPr>
              <w:jc w:val="right"/>
              <w:ind w:right="1390"/>
              <w:spacing w:after="0"/>
              <w:rPr>
                <w:sz w:val="20"/>
                <w:szCs w:val="20"/>
                <w:color w:val="auto"/>
              </w:rPr>
            </w:pPr>
            <w:r>
              <w:rPr>
                <w:rFonts w:ascii="Arial" w:cs="Arial" w:eastAsia="Arial" w:hAnsi="Arial"/>
                <w:sz w:val="18"/>
                <w:szCs w:val="18"/>
                <w:color w:val="auto"/>
              </w:rPr>
              <w:t>Total lease liabilities</w:t>
            </w:r>
          </w:p>
        </w:tc>
        <w:tc>
          <w:tcPr>
            <w:tcW w:w="2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29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54,993</w:t>
            </w:r>
          </w:p>
        </w:tc>
        <w:tc>
          <w:tcPr>
            <w:tcW w:w="100" w:type="dxa"/>
            <w:vAlign w:val="bottom"/>
            <w:tcBorders>
              <w:bottom w:val="single" w:sz="8" w:color="CFF0FC"/>
              <w:right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gridSpan w:val="7"/>
            <w:vMerge w:val="restart"/>
          </w:tcPr>
          <w:p>
            <w:pPr>
              <w:ind w:left="40"/>
              <w:spacing w:after="0"/>
              <w:rPr>
                <w:sz w:val="20"/>
                <w:szCs w:val="20"/>
                <w:color w:val="auto"/>
              </w:rPr>
            </w:pPr>
            <w:r>
              <w:rPr>
                <w:rFonts w:ascii="Arial" w:cs="Arial" w:eastAsia="Arial" w:hAnsi="Arial"/>
                <w:sz w:val="18"/>
                <w:szCs w:val="18"/>
                <w:color w:val="auto"/>
              </w:rPr>
              <w:t>The components of lease expense were as follows (in thousands):</w:t>
            </w: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80" w:type="dxa"/>
            <w:vAlign w:val="bottom"/>
            <w:gridSpan w:val="7"/>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26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Statement of Operations Line Item</w:t>
            </w:r>
          </w:p>
        </w:tc>
        <w:tc>
          <w:tcPr>
            <w:tcW w:w="150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6"/>
              </w:rPr>
              <w:t>Three Months Ended</w:t>
            </w:r>
          </w:p>
        </w:tc>
        <w:tc>
          <w:tcPr>
            <w:tcW w:w="220" w:type="dxa"/>
            <w:vAlign w:val="bottom"/>
          </w:tcPr>
          <w:p>
            <w:pPr>
              <w:spacing w:after="0"/>
              <w:rPr>
                <w:sz w:val="24"/>
                <w:szCs w:val="24"/>
                <w:color w:val="auto"/>
              </w:rPr>
            </w:pPr>
          </w:p>
        </w:tc>
        <w:tc>
          <w:tcPr>
            <w:tcW w:w="15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2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0"/>
              </w:rPr>
              <w:t>September 30, 2019</w:t>
            </w:r>
          </w:p>
        </w:tc>
        <w:tc>
          <w:tcPr>
            <w:tcW w:w="220" w:type="dxa"/>
            <w:vAlign w:val="bottom"/>
          </w:tcPr>
          <w:p>
            <w:pPr>
              <w:spacing w:after="0"/>
              <w:rPr>
                <w:sz w:val="14"/>
                <w:szCs w:val="14"/>
                <w:color w:val="auto"/>
              </w:rPr>
            </w:pPr>
          </w:p>
        </w:tc>
        <w:tc>
          <w:tcPr>
            <w:tcW w:w="15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7"/>
              </w:rPr>
              <w:t>September 30, 2019</w:t>
            </w: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2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right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3"/>
          </w:tcPr>
          <w:p>
            <w:pPr>
              <w:ind w:left="140"/>
              <w:spacing w:after="0"/>
              <w:rPr>
                <w:sz w:val="20"/>
                <w:szCs w:val="20"/>
                <w:color w:val="auto"/>
              </w:rPr>
            </w:pPr>
            <w:r>
              <w:rPr>
                <w:rFonts w:ascii="Arial" w:cs="Arial" w:eastAsia="Arial" w:hAnsi="Arial"/>
                <w:sz w:val="18"/>
                <w:szCs w:val="18"/>
                <w:color w:val="auto"/>
              </w:rPr>
              <w:t>Amortization of right-of-use assets</w:t>
            </w:r>
          </w:p>
        </w:tc>
        <w:tc>
          <w:tcPr>
            <w:tcW w:w="4260" w:type="dxa"/>
            <w:vAlign w:val="bottom"/>
            <w:gridSpan w:val="4"/>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2,580</w:t>
            </w:r>
          </w:p>
        </w:tc>
        <w:tc>
          <w:tcPr>
            <w:tcW w:w="80" w:type="dxa"/>
            <w:vAlign w:val="bottom"/>
          </w:tcPr>
          <w:p>
            <w:pPr>
              <w:spacing w:after="0"/>
              <w:rPr>
                <w:sz w:val="19"/>
                <w:szCs w:val="19"/>
                <w:color w:val="auto"/>
              </w:rPr>
            </w:pPr>
          </w:p>
        </w:tc>
        <w:tc>
          <w:tcPr>
            <w:tcW w:w="5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7,720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Interest on lease liabilities</w:t>
            </w:r>
          </w:p>
        </w:tc>
        <w:tc>
          <w:tcPr>
            <w:tcW w:w="4260" w:type="dxa"/>
            <w:vAlign w:val="bottom"/>
            <w:gridSpan w:val="4"/>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FF0FC"/>
          </w:tcPr>
          <w:p>
            <w:pPr>
              <w:spacing w:after="0"/>
              <w:rPr>
                <w:sz w:val="19"/>
                <w:szCs w:val="19"/>
                <w:color w:val="auto"/>
              </w:rPr>
            </w:pPr>
          </w:p>
        </w:tc>
        <w:tc>
          <w:tcPr>
            <w:tcW w:w="13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1,826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20" w:type="dxa"/>
            <w:vAlign w:val="bottom"/>
            <w:gridSpan w:val="3"/>
          </w:tcPr>
          <w:p>
            <w:pPr>
              <w:spacing w:after="0"/>
              <w:rPr>
                <w:sz w:val="20"/>
                <w:szCs w:val="20"/>
                <w:color w:val="auto"/>
              </w:rPr>
            </w:pPr>
            <w:r>
              <w:rPr>
                <w:rFonts w:ascii="Arial" w:cs="Arial" w:eastAsia="Arial" w:hAnsi="Arial"/>
                <w:sz w:val="18"/>
                <w:szCs w:val="18"/>
                <w:color w:val="auto"/>
              </w:rPr>
              <w:t>Operating lease cost</w:t>
            </w:r>
          </w:p>
        </w:tc>
        <w:tc>
          <w:tcPr>
            <w:tcW w:w="4260" w:type="dxa"/>
            <w:vAlign w:val="bottom"/>
            <w:gridSpan w:val="4"/>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260" w:type="dxa"/>
            <w:vAlign w:val="bottom"/>
            <w:gridSpan w:val="4"/>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Sublease income</w:t>
            </w:r>
          </w:p>
        </w:tc>
        <w:tc>
          <w:tcPr>
            <w:tcW w:w="4260" w:type="dxa"/>
            <w:vAlign w:val="bottom"/>
            <w:gridSpan w:val="4"/>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FF0FC"/>
          </w:tcPr>
          <w:p>
            <w:pPr>
              <w:spacing w:after="0"/>
              <w:rPr>
                <w:sz w:val="19"/>
                <w:szCs w:val="19"/>
                <w:color w:val="auto"/>
              </w:rPr>
            </w:pPr>
          </w:p>
        </w:tc>
        <w:tc>
          <w:tcPr>
            <w:tcW w:w="140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87"/>
              </w:rPr>
              <w:t>(1,135)</w:t>
            </w:r>
          </w:p>
        </w:tc>
        <w:tc>
          <w:tcPr>
            <w:tcW w:w="0" w:type="dxa"/>
            <w:vAlign w:val="bottom"/>
          </w:tcPr>
          <w:p>
            <w:pPr>
              <w:spacing w:after="0"/>
              <w:rPr>
                <w:sz w:val="1"/>
                <w:szCs w:val="1"/>
                <w:color w:val="auto"/>
              </w:rPr>
            </w:pPr>
          </w:p>
        </w:tc>
      </w:tr>
      <w:tr>
        <w:trPr>
          <w:trHeight w:val="223"/>
        </w:trPr>
        <w:tc>
          <w:tcPr>
            <w:tcW w:w="3920" w:type="dxa"/>
            <w:vAlign w:val="bottom"/>
            <w:gridSpan w:val="3"/>
          </w:tcPr>
          <w:p>
            <w:pPr>
              <w:ind w:left="140"/>
              <w:spacing w:after="0"/>
              <w:rPr>
                <w:sz w:val="20"/>
                <w:szCs w:val="20"/>
                <w:color w:val="auto"/>
              </w:rPr>
            </w:pPr>
            <w:r>
              <w:rPr>
                <w:rFonts w:ascii="Arial" w:cs="Arial" w:eastAsia="Arial" w:hAnsi="Arial"/>
                <w:sz w:val="18"/>
                <w:szCs w:val="18"/>
                <w:color w:val="auto"/>
              </w:rPr>
              <w:t>Total lease cost</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3,138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gridSpan w:val="7"/>
            <w:vMerge w:val="restart"/>
          </w:tcPr>
          <w:p>
            <w:pPr>
              <w:ind w:left="40"/>
              <w:spacing w:after="0"/>
              <w:rPr>
                <w:sz w:val="20"/>
                <w:szCs w:val="20"/>
                <w:color w:val="auto"/>
              </w:rPr>
            </w:pPr>
            <w:r>
              <w:rPr>
                <w:rFonts w:ascii="Arial" w:cs="Arial" w:eastAsia="Arial" w:hAnsi="Arial"/>
                <w:sz w:val="18"/>
                <w:szCs w:val="18"/>
                <w:color w:val="auto"/>
              </w:rPr>
              <w:t>Supplemental cash flow information related to leases were as follows (in thousands):</w:t>
            </w: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80" w:type="dxa"/>
            <w:vAlign w:val="bottom"/>
            <w:gridSpan w:val="7"/>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gridSpan w:val="9"/>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9"/>
          </w:tcPr>
          <w:p>
            <w:pPr>
              <w:jc w:val="right"/>
              <w:ind w:right="880"/>
              <w:spacing w:after="0"/>
              <w:rPr>
                <w:sz w:val="20"/>
                <w:szCs w:val="20"/>
                <w:color w:val="auto"/>
              </w:rPr>
            </w:pPr>
            <w:r>
              <w:rPr>
                <w:rFonts w:ascii="Arial" w:cs="Arial" w:eastAsia="Arial" w:hAnsi="Arial"/>
                <w:sz w:val="14"/>
                <w:szCs w:val="14"/>
                <w:b w:val="1"/>
                <w:bCs w:val="1"/>
                <w:color w:val="auto"/>
              </w:rPr>
              <w:t>September 30, 2019</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20" w:type="dxa"/>
            <w:vAlign w:val="bottom"/>
            <w:tcBorders>
              <w:top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20" w:type="dxa"/>
            <w:vAlign w:val="bottom"/>
            <w:gridSpan w:val="5"/>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100" w:type="dxa"/>
            <w:vAlign w:val="bottom"/>
          </w:tcPr>
          <w:p>
            <w:pPr>
              <w:spacing w:after="0"/>
              <w:rPr>
                <w:sz w:val="19"/>
                <w:szCs w:val="19"/>
                <w:color w:val="auto"/>
              </w:rPr>
            </w:pPr>
          </w:p>
        </w:tc>
        <w:tc>
          <w:tcPr>
            <w:tcW w:w="106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20" w:type="dxa"/>
            <w:vAlign w:val="bottom"/>
            <w:gridSpan w:val="5"/>
            <w:shd w:val="clear" w:color="auto" w:fill="CFF0FC"/>
          </w:tcPr>
          <w:p>
            <w:pPr>
              <w:ind w:left="120"/>
              <w:spacing w:after="0"/>
              <w:rPr>
                <w:sz w:val="20"/>
                <w:szCs w:val="20"/>
                <w:color w:val="auto"/>
              </w:rPr>
            </w:pPr>
            <w:r>
              <w:rPr>
                <w:rFonts w:ascii="Arial" w:cs="Arial" w:eastAsia="Arial" w:hAnsi="Arial"/>
                <w:sz w:val="18"/>
                <w:szCs w:val="18"/>
                <w:color w:val="auto"/>
              </w:rPr>
              <w:t>Operating cash flows from finance leases</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20" w:type="dxa"/>
            <w:vAlign w:val="bottom"/>
            <w:gridSpan w:val="5"/>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8,810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2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lease liabilities:</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6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49,784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2,723</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060" w:type="dxa"/>
            <w:vAlign w:val="bottom"/>
            <w:gridSpan w:val="3"/>
          </w:tcPr>
          <w:p>
            <w:pPr>
              <w:ind w:left="170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Lease term and discount rate were as follows at September 30,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1"/>
              </w:rPr>
              <w:t>September 30, 2019</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6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4.43%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6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4"/>
          </w:tcPr>
          <w:p>
            <w:pPr>
              <w:jc w:val="right"/>
              <w:ind w:right="20"/>
              <w:spacing w:after="0"/>
              <w:rPr>
                <w:sz w:val="20"/>
                <w:szCs w:val="20"/>
                <w:color w:val="auto"/>
              </w:rPr>
            </w:pPr>
            <w:r>
              <w:rPr>
                <w:rFonts w:ascii="Arial" w:cs="Arial" w:eastAsia="Arial" w:hAnsi="Arial"/>
                <w:sz w:val="18"/>
                <w:szCs w:val="18"/>
                <w:color w:val="auto"/>
              </w:rPr>
              <w:t>4.75%</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6120" w:type="dxa"/>
            <w:vAlign w:val="bottom"/>
            <w:gridSpan w:val="3"/>
          </w:tcPr>
          <w:p>
            <w:pPr>
              <w:spacing w:after="0"/>
              <w:rPr>
                <w:sz w:val="20"/>
                <w:szCs w:val="20"/>
                <w:color w:val="auto"/>
              </w:rPr>
            </w:pPr>
            <w:r>
              <w:rPr>
                <w:rFonts w:ascii="Arial" w:cs="Arial" w:eastAsia="Arial" w:hAnsi="Arial"/>
                <w:sz w:val="18"/>
                <w:szCs w:val="18"/>
                <w:color w:val="auto"/>
              </w:rPr>
              <w:t>Maturities of lease liabilities are as follows: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6120" w:type="dxa"/>
            <w:vAlign w:val="bottom"/>
            <w:gridSpan w:val="3"/>
          </w:tcPr>
          <w:p>
            <w:pPr>
              <w:ind w:left="580"/>
              <w:spacing w:after="0"/>
              <w:rPr>
                <w:sz w:val="20"/>
                <w:szCs w:val="20"/>
                <w:color w:val="auto"/>
              </w:rPr>
            </w:pPr>
            <w:r>
              <w:rPr>
                <w:rFonts w:ascii="Arial" w:cs="Arial" w:eastAsia="Arial" w:hAnsi="Arial"/>
                <w:sz w:val="14"/>
                <w:szCs w:val="14"/>
                <w:b w:val="1"/>
                <w:bCs w:val="1"/>
                <w:color w:val="auto"/>
              </w:rPr>
              <w:t>Year Ending</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Finance Leases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Operating Leases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55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2019 (Remaining three month period)</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3,466</w:t>
            </w: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gridSpan w:val="2"/>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ind w:right="1263"/>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2020</w:t>
            </w:r>
          </w:p>
        </w:tc>
        <w:tc>
          <w:tcPr>
            <w:tcW w:w="4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14,060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1,013</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13,675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2022</w:t>
            </w:r>
          </w:p>
        </w:tc>
        <w:tc>
          <w:tcPr>
            <w:tcW w:w="4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13,878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12,523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8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8"/>
                <w:szCs w:val="18"/>
                <w:color w:val="auto"/>
              </w:rPr>
              <w:t>Total future lease payments</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57,602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2,244</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Interest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(4,740)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w:t>
            </w:r>
          </w:p>
        </w:tc>
      </w:tr>
      <w:tr>
        <w:trPr>
          <w:trHeight w:val="223"/>
        </w:trPr>
        <w:tc>
          <w:tcPr>
            <w:tcW w:w="6120" w:type="dxa"/>
            <w:vAlign w:val="bottom"/>
            <w:gridSpan w:val="3"/>
          </w:tcPr>
          <w:p>
            <w:pPr>
              <w:ind w:left="580"/>
              <w:spacing w:after="0"/>
              <w:rPr>
                <w:sz w:val="20"/>
                <w:szCs w:val="20"/>
                <w:color w:val="auto"/>
              </w:rPr>
            </w:pPr>
            <w:r>
              <w:rPr>
                <w:rFonts w:ascii="Arial" w:cs="Arial" w:eastAsia="Arial" w:hAnsi="Arial"/>
                <w:sz w:val="18"/>
                <w:szCs w:val="18"/>
                <w:color w:val="auto"/>
              </w:rPr>
              <w:t>Present value of lease liabilities</w:t>
            </w:r>
          </w:p>
        </w:tc>
        <w:tc>
          <w:tcPr>
            <w:tcW w:w="220" w:type="dxa"/>
            <w:vAlign w:val="bottom"/>
          </w:tcPr>
          <w:p>
            <w:pPr>
              <w:spacing w:after="0"/>
              <w:rPr>
                <w:sz w:val="19"/>
                <w:szCs w:val="19"/>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52,862</w:t>
            </w:r>
          </w:p>
        </w:tc>
        <w:tc>
          <w:tcPr>
            <w:tcW w:w="8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380" w:type="dxa"/>
            <w:vAlign w:val="bottom"/>
            <w:tcBorders>
              <w:top w:val="single" w:sz="8" w:color="auto"/>
            </w:tcBorders>
          </w:tcPr>
          <w:p>
            <w:pPr>
              <w:jc w:val="right"/>
              <w:ind w:right="1263"/>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2,131</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was previously disclosed under ASC 840 as of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all non-cancelable operating lease obligations as of December 31, 2018 were as follows (in thousands):</w:t>
      </w:r>
    </w:p>
    <w:p>
      <w:pPr>
        <w:spacing w:after="0" w:line="24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660" w:type="dxa"/>
            <w:vAlign w:val="bottom"/>
            <w:gridSpan w:val="3"/>
          </w:tcPr>
          <w:p>
            <w:pPr>
              <w:spacing w:after="0"/>
              <w:rPr>
                <w:sz w:val="20"/>
                <w:szCs w:val="20"/>
                <w:color w:val="auto"/>
              </w:rPr>
            </w:pPr>
            <w:r>
              <w:rPr>
                <w:rFonts w:ascii="Arial" w:cs="Arial" w:eastAsia="Arial" w:hAnsi="Arial"/>
                <w:sz w:val="14"/>
                <w:szCs w:val="14"/>
                <w:b w:val="1"/>
                <w:bCs w:val="1"/>
                <w:color w:val="auto"/>
              </w:rPr>
              <w:t>Year Ending</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gridSpan w:val="2"/>
          </w:tcPr>
          <w:p>
            <w:pPr>
              <w:ind w:left="300"/>
              <w:spacing w:after="0"/>
              <w:rPr>
                <w:sz w:val="20"/>
                <w:szCs w:val="20"/>
                <w:color w:val="auto"/>
              </w:rPr>
            </w:pPr>
            <w:r>
              <w:rPr>
                <w:rFonts w:ascii="Arial" w:cs="Arial" w:eastAsia="Arial" w:hAnsi="Arial"/>
                <w:sz w:val="14"/>
                <w:szCs w:val="14"/>
                <w:b w:val="1"/>
                <w:bCs w:val="1"/>
                <w:color w:val="auto"/>
              </w:rPr>
              <w:t>Operating Leases</w:t>
            </w:r>
          </w:p>
        </w:tc>
      </w:tr>
      <w:tr>
        <w:trPr>
          <w:trHeight w:val="223"/>
        </w:trPr>
        <w:tc>
          <w:tcPr>
            <w:tcW w:w="20" w:type="dxa"/>
            <w:vAlign w:val="bottom"/>
          </w:tcPr>
          <w:p>
            <w:pPr>
              <w:spacing w:after="0"/>
              <w:rPr>
                <w:sz w:val="19"/>
                <w:szCs w:val="19"/>
                <w:color w:val="auto"/>
              </w:rPr>
            </w:pPr>
          </w:p>
        </w:tc>
        <w:tc>
          <w:tcPr>
            <w:tcW w:w="6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640" w:type="dxa"/>
            <w:vAlign w:val="bottom"/>
            <w:gridSpan w:val="2"/>
          </w:tcPr>
          <w:p>
            <w:pPr>
              <w:ind w:left="240"/>
              <w:spacing w:after="0"/>
              <w:rPr>
                <w:sz w:val="20"/>
                <w:szCs w:val="20"/>
                <w:color w:val="auto"/>
              </w:rPr>
            </w:pPr>
            <w:r>
              <w:rPr>
                <w:rFonts w:ascii="Arial" w:cs="Arial" w:eastAsia="Arial" w:hAnsi="Arial"/>
                <w:sz w:val="18"/>
                <w:szCs w:val="18"/>
                <w:color w:val="auto"/>
              </w:rPr>
              <w:t>Total minimum payments</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Future minimum lease payments, on a consolidated basis, under the Company’s facility lease financing obligations as of December 31, 2018 were as follows (in thousands):</w:t>
      </w:r>
    </w:p>
    <w:tbl>
      <w:tblPr>
        <w:tblLayout w:type="fixed"/>
        <w:tblInd w:w="0" w:type="dxa"/>
        <w:tblCellMar>
          <w:top w:w="0" w:type="dxa"/>
          <w:left w:w="0" w:type="dxa"/>
          <w:bottom w:w="0" w:type="dxa"/>
          <w:right w:w="0" w:type="dxa"/>
        </w:tblCellMar>
      </w:tblPr>
      <w:tr>
        <w:trPr>
          <w:trHeight w:val="141"/>
        </w:trPr>
        <w:tc>
          <w:tcPr>
            <w:tcW w:w="340" w:type="dxa"/>
            <w:vAlign w:val="bottom"/>
          </w:tcPr>
          <w:p>
            <w:pPr>
              <w:spacing w:after="0"/>
              <w:rPr>
                <w:sz w:val="12"/>
                <w:szCs w:val="12"/>
                <w:color w:val="auto"/>
              </w:rPr>
            </w:pPr>
          </w:p>
        </w:tc>
        <w:tc>
          <w:tcPr>
            <w:tcW w:w="526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Year Ending</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0"/>
              </w:rPr>
              <w:t>Lease financing</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526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obligations</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2020</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14,664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2022</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Total minimum payments</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526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Balance Sheet Components</w:t>
            </w: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40" w:type="dxa"/>
            <w:vAlign w:val="bottom"/>
            <w:vMerge w:val="continue"/>
          </w:tcPr>
          <w:p>
            <w:pPr>
              <w:spacing w:after="0"/>
              <w:rPr>
                <w:sz w:val="24"/>
                <w:szCs w:val="24"/>
                <w:color w:val="auto"/>
              </w:rPr>
            </w:pPr>
          </w:p>
        </w:tc>
        <w:tc>
          <w:tcPr>
            <w:tcW w:w="526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6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Cash and Cash Equivalents</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00" w:type="dxa"/>
            <w:vAlign w:val="bottom"/>
            <w:gridSpan w:val="3"/>
          </w:tcPr>
          <w:p>
            <w:pPr>
              <w:spacing w:after="0"/>
              <w:rPr>
                <w:sz w:val="20"/>
                <w:szCs w:val="20"/>
                <w:color w:val="auto"/>
              </w:rPr>
            </w:pPr>
            <w:r>
              <w:rPr>
                <w:rFonts w:ascii="Arial" w:cs="Arial" w:eastAsia="Arial" w:hAnsi="Arial"/>
                <w:sz w:val="18"/>
                <w:szCs w:val="18"/>
                <w:color w:val="auto"/>
              </w:rPr>
              <w:t>Cash and cash equivalents consisted of the following (in thousands):</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2019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6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90,770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38,783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US treasury notes and bills</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49,934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6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105,822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Total cash and cash equivalents</w:t>
            </w:r>
          </w:p>
        </w:tc>
        <w:tc>
          <w:tcPr>
            <w:tcW w:w="6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196,592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240" w:top="125" w:right="359" w:bottom="1440" w:gutter="0" w:footer="0" w:header="0"/>
        </w:sect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September 30, 2019 and December 31, 2018, a total of $18.1 million and $21.9 million, respectively, of the Company’s cash and cash equivalents were held outside of the U.S. in its foreign subsidiaries to be used primarily for its China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Company’s investments consist of available-for-sale debt investments, marketable equity investments, a term deposit and a certificate of deposit. The amortized cost, gross unrealized holding gains or losses, and fair value of the Company’s available-for-sale investments by major investments type are summarized in the tables below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5"/>
          </w:tcPr>
          <w:p>
            <w:pPr>
              <w:jc w:val="right"/>
              <w:ind w:right="1320"/>
              <w:spacing w:after="0"/>
              <w:rPr>
                <w:sz w:val="20"/>
                <w:szCs w:val="20"/>
                <w:color w:val="auto"/>
              </w:rPr>
            </w:pPr>
            <w:r>
              <w:rPr>
                <w:rFonts w:ascii="Arial" w:cs="Arial" w:eastAsia="Arial" w:hAnsi="Arial"/>
                <w:sz w:val="14"/>
                <w:szCs w:val="14"/>
                <w:b w:val="1"/>
                <w:bCs w:val="1"/>
                <w:color w:val="auto"/>
              </w:rPr>
              <w:t>September 30, 2019</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360" w:type="dxa"/>
            <w:vAlign w:val="bottom"/>
          </w:tcPr>
          <w:p>
            <w:pPr>
              <w:jc w:val="center"/>
              <w:ind w:right="96"/>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3"/>
              </w:rPr>
              <w:t>Gross Unrealized</w:t>
            </w:r>
          </w:p>
        </w:tc>
        <w:tc>
          <w:tcPr>
            <w:tcW w:w="260" w:type="dxa"/>
            <w:vAlign w:val="bottom"/>
          </w:tcPr>
          <w:p>
            <w:pPr>
              <w:spacing w:after="0"/>
              <w:rPr>
                <w:sz w:val="11"/>
                <w:szCs w:val="11"/>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Holding Gains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Holding Losses</w:t>
            </w:r>
          </w:p>
        </w:tc>
        <w:tc>
          <w:tcPr>
            <w:tcW w:w="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notes and bills</w:t>
            </w:r>
          </w:p>
        </w:tc>
        <w:tc>
          <w:tcPr>
            <w:tcW w:w="1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401,377</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402,040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Bond and mutual funds</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Equity investments</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investments</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442,170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443,039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5"/>
          </w:tcPr>
          <w:p>
            <w:pPr>
              <w:jc w:val="right"/>
              <w:ind w:right="1340"/>
              <w:spacing w:after="0"/>
              <w:rPr>
                <w:sz w:val="20"/>
                <w:szCs w:val="20"/>
                <w:color w:val="auto"/>
              </w:rPr>
            </w:pPr>
            <w:r>
              <w:rPr>
                <w:rFonts w:ascii="Arial" w:cs="Arial" w:eastAsia="Arial" w:hAnsi="Arial"/>
                <w:sz w:val="14"/>
                <w:szCs w:val="14"/>
                <w:b w:val="1"/>
                <w:bCs w:val="1"/>
                <w:color w:val="auto"/>
              </w:rPr>
              <w:t>December 31, 2018</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360" w:type="dxa"/>
            <w:vAlign w:val="bottom"/>
          </w:tcPr>
          <w:p>
            <w:pPr>
              <w:jc w:val="center"/>
              <w:ind w:right="96"/>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3"/>
              </w:rPr>
              <w:t>Gross Unrealized</w:t>
            </w:r>
          </w:p>
        </w:tc>
        <w:tc>
          <w:tcPr>
            <w:tcW w:w="260" w:type="dxa"/>
            <w:vAlign w:val="bottom"/>
          </w:tcPr>
          <w:p>
            <w:pPr>
              <w:spacing w:after="0"/>
              <w:rPr>
                <w:sz w:val="11"/>
                <w:szCs w:val="11"/>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180" w:type="dxa"/>
            <w:vAlign w:val="bottom"/>
            <w:vMerge w:val="restart"/>
          </w:tcPr>
          <w:p>
            <w:pPr>
              <w:spacing w:after="0"/>
              <w:rPr>
                <w:sz w:val="20"/>
                <w:szCs w:val="20"/>
                <w:color w:val="auto"/>
              </w:rPr>
            </w:pPr>
            <w:r>
              <w:rPr>
                <w:rFonts w:ascii="Arial" w:cs="Arial" w:eastAsia="Arial" w:hAnsi="Arial"/>
                <w:sz w:val="18"/>
                <w:szCs w:val="18"/>
                <w:color w:val="auto"/>
              </w:rPr>
              <w:t>US treasury notes and bills</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Holding Gains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Holding Losses</w:t>
            </w:r>
          </w:p>
        </w:tc>
        <w:tc>
          <w:tcPr>
            <w:tcW w:w="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8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467,296</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467,336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Term deposit</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29,910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Bond and mutual funds</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Equity investments</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investments</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587,885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587,964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At September 30, 2019, all of the available-for-sale investments had contractual maturities within one year. The Company periodically reviews its available-for-sale investments and term deposit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During the three and nine months ended September 30, 2019 and 2018, the Company did not recognize any other-than-temporary impairment loss.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(in thousands):</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 2019</w:t>
            </w:r>
          </w:p>
        </w:tc>
      </w:tr>
      <w:tr>
        <w:trPr>
          <w:trHeight w:val="223"/>
        </w:trPr>
        <w:tc>
          <w:tcPr>
            <w:tcW w:w="20" w:type="dxa"/>
            <w:vAlign w:val="bottom"/>
          </w:tcPr>
          <w:p>
            <w:pPr>
              <w:spacing w:after="0"/>
              <w:rPr>
                <w:sz w:val="19"/>
                <w:szCs w:val="19"/>
                <w:color w:val="auto"/>
              </w:rPr>
            </w:pPr>
          </w:p>
        </w:tc>
        <w:tc>
          <w:tcPr>
            <w:tcW w:w="6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Work-in-progress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1,155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3,095</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800" w:type="dxa"/>
            <w:vAlign w:val="bottom"/>
          </w:tcPr>
          <w:p>
            <w:pPr>
              <w:ind w:left="240"/>
              <w:spacing w:after="0"/>
              <w:rPr>
                <w:sz w:val="20"/>
                <w:szCs w:val="20"/>
                <w:color w:val="auto"/>
              </w:rPr>
            </w:pPr>
            <w:r>
              <w:rPr>
                <w:rFonts w:ascii="Arial" w:cs="Arial" w:eastAsia="Arial" w:hAnsi="Arial"/>
                <w:sz w:val="18"/>
                <w:szCs w:val="18"/>
                <w:color w:val="auto"/>
              </w:rPr>
              <w:t>Total inventories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started capitalizing inventory costs in June 2019 when FibroGen China began productions of roxadustat for commercial sales purposes. There was no provision to write-down excess and obsolete inventory for the three and nine months ended September 30,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September 30, 2019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Unbilled contract assets</w:t>
            </w:r>
          </w:p>
        </w:tc>
        <w:tc>
          <w:tcPr>
            <w:tcW w:w="1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180,000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800" w:type="dxa"/>
            <w:vAlign w:val="bottom"/>
          </w:tcPr>
          <w:p>
            <w:pPr>
              <w:ind w:left="120"/>
              <w:spacing w:after="0"/>
              <w:rPr>
                <w:sz w:val="20"/>
                <w:szCs w:val="20"/>
                <w:color w:val="auto"/>
              </w:rPr>
            </w:pPr>
            <w:r>
              <w:rPr>
                <w:rFonts w:ascii="Arial" w:cs="Arial" w:eastAsia="Arial" w:hAnsi="Arial"/>
                <w:sz w:val="18"/>
                <w:szCs w:val="18"/>
                <w:color w:val="auto"/>
              </w:rPr>
              <w:t>Deferred revenues from associated contracts</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2"/>
          </w:tcPr>
          <w:p>
            <w:pPr>
              <w:jc w:val="right"/>
              <w:ind w:right="240"/>
              <w:spacing w:after="0"/>
              <w:rPr>
                <w:sz w:val="20"/>
                <w:szCs w:val="20"/>
                <w:color w:val="auto"/>
              </w:rPr>
            </w:pPr>
            <w:r>
              <w:rPr>
                <w:rFonts w:ascii="Arial" w:cs="Arial" w:eastAsia="Arial" w:hAnsi="Arial"/>
                <w:sz w:val="18"/>
                <w:szCs w:val="18"/>
                <w:color w:val="auto"/>
              </w:rPr>
              <w:t>(53,988)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unbilled contract assets</w:t>
            </w:r>
          </w:p>
        </w:tc>
        <w:tc>
          <w:tcPr>
            <w:tcW w:w="1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126,012</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Prepaid assets</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4,051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2,705</w:t>
            </w:r>
          </w:p>
        </w:tc>
        <w:tc>
          <w:tcPr>
            <w:tcW w:w="12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2,224</w:t>
            </w:r>
          </w:p>
        </w:tc>
        <w:tc>
          <w:tcPr>
            <w:tcW w:w="120" w:type="dxa"/>
            <w:vAlign w:val="bottom"/>
            <w:shd w:val="clear" w:color="auto" w:fill="CFF0FC"/>
          </w:tcPr>
          <w:p>
            <w:pPr>
              <w:spacing w:after="0"/>
              <w:rPr>
                <w:sz w:val="19"/>
                <w:szCs w:val="19"/>
                <w:color w:val="auto"/>
              </w:rPr>
            </w:pPr>
          </w:p>
        </w:tc>
      </w:tr>
      <w:tr>
        <w:trPr>
          <w:trHeight w:val="223"/>
        </w:trPr>
        <w:tc>
          <w:tcPr>
            <w:tcW w:w="4800" w:type="dxa"/>
            <w:vAlign w:val="bottom"/>
          </w:tcPr>
          <w:p>
            <w:pPr>
              <w:ind w:left="240"/>
              <w:spacing w:after="0"/>
              <w:rPr>
                <w:sz w:val="20"/>
                <w:szCs w:val="20"/>
                <w:color w:val="auto"/>
              </w:rPr>
            </w:pPr>
            <w:r>
              <w:rPr>
                <w:rFonts w:ascii="Arial" w:cs="Arial" w:eastAsia="Arial" w:hAnsi="Arial"/>
                <w:sz w:val="18"/>
                <w:szCs w:val="18"/>
                <w:color w:val="auto"/>
              </w:rPr>
              <w:t>Total prepaid expenses and other current assets</w:t>
            </w:r>
          </w:p>
        </w:tc>
        <w:tc>
          <w:tcPr>
            <w:tcW w:w="12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133,715</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4,929</w:t>
            </w:r>
          </w:p>
        </w:tc>
        <w:tc>
          <w:tcPr>
            <w:tcW w:w="12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unbilled contract assets as of September 30, 2019 were related to two regulatory milestones totaling $130.0 million under the Europe Agreement with Astellas associated with the planned MAA submission in Europe, and a $50.0 million regulatory milestone under the U.S./RoW Agreement with AstraZeneca associated with the planned NDA submission in the U.S. See Note 2 for details.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20" w:type="dxa"/>
            <w:vAlign w:val="bottom"/>
          </w:tcPr>
          <w:p>
            <w:pPr>
              <w:spacing w:after="0"/>
              <w:rPr>
                <w:sz w:val="19"/>
                <w:szCs w:val="19"/>
                <w:color w:val="auto"/>
              </w:rPr>
            </w:pPr>
          </w:p>
        </w:tc>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6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101,339</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101,200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Building shell</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53,880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Machinery</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8,691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8,382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5,789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5,690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6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property and equipment</w:t>
            </w:r>
          </w:p>
        </w:tc>
        <w:tc>
          <w:tcPr>
            <w:tcW w:w="16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142,310</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192,397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6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(99,102)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(65,199)</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16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43,208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127,198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of December 31, 2018, the Company had $53.9 million building shell cost and $13.5 million accumulated depreciation related to its building leases under build-to-suit arrangements. Upon the adoption of ASC 842 as of January 1, 2019, using the modified retrospective transition method, the Company derecognized these assets previously recognized under ASC 840 build-to-suit designation. Up to December 31, 2018, the leasehold improvements related to these building leases were depreciated over the life of the building under ASC 840. Upon the adoption of ASC 842, these leasehold improvements should have a useful life based on the lease term. As a result, at the adoption date, the Company recorded a cumulative adjustment of $38.9 million to the accumulated depreciation for these leasehold improvements so that their net balance equals the undepreciated amount had the useful life of the leasehold improvements always been equal to the lease terms. Refer to Note 1 for details.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Preclinical and clinical trial accruals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41,546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35,413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Payroll and related accruals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17,604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21,430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Property taxes and other</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4,063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2,648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5,537</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240"/>
              <w:spacing w:after="0"/>
              <w:rPr>
                <w:sz w:val="20"/>
                <w:szCs w:val="20"/>
                <w:color w:val="auto"/>
              </w:rPr>
            </w:pPr>
            <w:r>
              <w:rPr>
                <w:rFonts w:ascii="Arial" w:cs="Arial" w:eastAsia="Arial" w:hAnsi="Arial"/>
                <w:sz w:val="18"/>
                <w:szCs w:val="18"/>
                <w:color w:val="auto"/>
              </w:rPr>
              <w:t>Total accrued liabilities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70,825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66,123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was allocated to research and development and selling, general and administrative expense as follows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4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right"/>
              <w:ind w:right="6"/>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3"/>
                <w:szCs w:val="13"/>
                <w:color w:val="auto"/>
              </w:rPr>
            </w:pPr>
          </w:p>
        </w:tc>
        <w:tc>
          <w:tcPr>
            <w:tcW w:w="12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20" w:type="dxa"/>
            <w:vAlign w:val="bottom"/>
            <w:tcBorders>
              <w:top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10,185</w:t>
            </w:r>
          </w:p>
        </w:tc>
        <w:tc>
          <w:tcPr>
            <w:tcW w:w="3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0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8,465</w:t>
            </w:r>
          </w:p>
        </w:tc>
        <w:tc>
          <w:tcPr>
            <w:tcW w:w="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30,214</w:t>
            </w: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22,729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w:t>
            </w:r>
          </w:p>
        </w:tc>
        <w:tc>
          <w:tcPr>
            <w:tcW w:w="3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5,858</w:t>
            </w:r>
          </w:p>
        </w:tc>
        <w:tc>
          <w:tcPr>
            <w:tcW w:w="2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18,651</w:t>
            </w: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15,703</w:t>
            </w:r>
          </w:p>
        </w:tc>
        <w:tc>
          <w:tcPr>
            <w:tcW w:w="120" w:type="dxa"/>
            <w:vAlign w:val="bottom"/>
            <w:tcBorders>
              <w:bottom w:val="single" w:sz="8" w:color="CFF0FC"/>
            </w:tcBorders>
          </w:tcPr>
          <w:p>
            <w:pPr>
              <w:spacing w:after="0"/>
              <w:rPr>
                <w:sz w:val="19"/>
                <w:szCs w:val="19"/>
                <w:color w:val="auto"/>
              </w:rPr>
            </w:pPr>
          </w:p>
        </w:tc>
      </w:tr>
      <w:tr>
        <w:trPr>
          <w:trHeight w:val="223"/>
        </w:trPr>
        <w:tc>
          <w:tcPr>
            <w:tcW w:w="4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14,793</w:t>
            </w:r>
          </w:p>
        </w:tc>
        <w:tc>
          <w:tcPr>
            <w:tcW w:w="3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14,323</w:t>
            </w:r>
          </w:p>
        </w:tc>
        <w:tc>
          <w:tcPr>
            <w:tcW w:w="2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48,865</w:t>
            </w:r>
          </w:p>
        </w:tc>
        <w:tc>
          <w:tcPr>
            <w:tcW w:w="2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38,432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assumptions used to estimate the fair value of stock options granted and purchases under the Company’s 2014 Employee Share Purchase Plan (“ESPP”)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using the Black-Scholes option valuation model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w w:val="99"/>
              </w:rPr>
              <w:t>Three Months Ended September 30,</w:t>
            </w:r>
          </w:p>
        </w:tc>
        <w:tc>
          <w:tcPr>
            <w:tcW w:w="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 Options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4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25.17</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35.99</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32.44</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32.37</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ESPPs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0.5 - 2.0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0.5 - 2.0</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0.5 - 2.0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0.5 - 2.0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48.1 - 62.1  %</w:t>
            </w:r>
          </w:p>
        </w:tc>
        <w:tc>
          <w:tcPr>
            <w:tcW w:w="3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47.3 - 72.8  %</w:t>
            </w:r>
          </w:p>
        </w:tc>
        <w:tc>
          <w:tcPr>
            <w:tcW w:w="3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48.1 - 62.1  %</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47.3 - 75.3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1.6 - 2.9  %</w:t>
            </w:r>
          </w:p>
        </w:tc>
        <w:tc>
          <w:tcPr>
            <w:tcW w:w="320" w:type="dxa"/>
            <w:vAlign w:val="bottom"/>
          </w:tcPr>
          <w:p>
            <w:pPr>
              <w:spacing w:after="0"/>
              <w:rPr>
                <w:sz w:val="19"/>
                <w:szCs w:val="19"/>
                <w:color w:val="auto"/>
              </w:rPr>
            </w:pP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1.0 - 2.6  %</w:t>
            </w:r>
          </w:p>
        </w:tc>
        <w:tc>
          <w:tcPr>
            <w:tcW w:w="300" w:type="dxa"/>
            <w:vAlign w:val="bottom"/>
          </w:tcPr>
          <w:p>
            <w:pPr>
              <w:spacing w:after="0"/>
              <w:rPr>
                <w:sz w:val="19"/>
                <w:szCs w:val="19"/>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1.3 - 2.9  %</w:t>
            </w:r>
          </w:p>
        </w:tc>
        <w:tc>
          <w:tcPr>
            <w:tcW w:w="320" w:type="dxa"/>
            <w:vAlign w:val="bottom"/>
          </w:tcPr>
          <w:p>
            <w:pPr>
              <w:spacing w:after="0"/>
              <w:rPr>
                <w:sz w:val="19"/>
                <w:szCs w:val="19"/>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0.8 - 2.6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19.27</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20.10</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19.53</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15.27</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for income taxes for the three and nine months ended September 30, 2019 and 2018 were due to foreign taxes.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Based upon the weight of available evidence, which includes its historical operating performance, reported cumulative net losses since inception, the Company has established and continues to maintain a full valuation allowance against its deferred tax assets as it does not currently believe that realization of those assets is more likely than not.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Astellas is an equity investor in the Company and considered a related party. The Company recorded revenue related to collaboration agreements with Astellas of $15.5 million and $5.1 million for the three months ended September 30, 2019 and 2018, respectively, and $155.0 million and $30.8 million for the nine months ended September 30, 2019 and 2018, respectively.</w:t>
      </w:r>
    </w:p>
    <w:p>
      <w:pPr>
        <w:spacing w:after="0" w:line="181" w:lineRule="exact"/>
        <w:rPr>
          <w:sz w:val="20"/>
          <w:szCs w:val="20"/>
          <w:color w:val="auto"/>
        </w:rPr>
      </w:pPr>
    </w:p>
    <w:p>
      <w:pPr>
        <w:ind w:right="900"/>
        <w:spacing w:after="0" w:line="342" w:lineRule="auto"/>
        <w:rPr>
          <w:sz w:val="20"/>
          <w:szCs w:val="20"/>
          <w:color w:val="auto"/>
        </w:rPr>
      </w:pPr>
      <w:r>
        <w:rPr>
          <w:rFonts w:ascii="Arial" w:cs="Arial" w:eastAsia="Arial" w:hAnsi="Arial"/>
          <w:sz w:val="16"/>
          <w:szCs w:val="16"/>
          <w:color w:val="auto"/>
        </w:rPr>
        <w:t>The Company recorded expense related to collaboration agreements with Astellas of $0.9 million and $0.4 million during the three months ended September 30, 2019 and 2018, respectively, and $2.2 million and $1.1 million during the nine months ended September 30, 2019 and 2018.</w:t>
      </w:r>
    </w:p>
    <w:p>
      <w:pPr>
        <w:spacing w:after="0" w:line="12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of September 30, 2019 and December 31, 2018, accounts receivable from Astellas were $17.7 million and $47.2 million, respectively, and amounts due to Astellas were $1.7 million and $0.4 million, respectively. The accounts receivable from Astellas as of September 30, 2019 included $12.5 million of the milestone payment the Japan Agreement related to Japan’s NDA approval by the Ministry of Health, Labour and Welfare for the treatment of anemia associated with CKD in dialysis patients. The accounts receivable from Astellas as of December 31, 2018 included $43.8 million related to the delivery of roxadustat active pharmaceutical ingredients to Astellas during the fourth quarter of 2018, pursuant to an amendment to the Japan Agreement that will allow Astellas to manufacture roxadustat drug product for commercialization in Japan. This amount was received during the first quarter of 2019.</w:t>
      </w:r>
    </w:p>
    <w:p>
      <w:pPr>
        <w:spacing w:after="0" w:line="16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Prepaid expenses and other current assets as of September 30, 2019 included $126.0 million of net unbilled contract asset, representing a $130.0 million unbilled contract asset related to two regulatory milestones under the Europe Agreement with Astellas associated with the planned MAA submission to the EMA, net of $4.0 million of associated deferred revenue. See Note 2 for details. According to the Europe Agreement, this $130.0 million is not billable to Astellas until the submission of an MAA, therefore the net contract asset was included in the prepaid expenses and other current assets line on the Company’s condensed consolidated balance sheet as of September 30, 2019. There was no such contract asset balance as of December 31, 2018.</w:t>
      </w: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2018 filed with the SEC on February 27, 2019.</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 and are cautioned not to place undue reliance on such forward-looking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were incorporated in 1993 in Delaware and are headquartered in San Francisco, California, with subsidiary offices in Beijing and Shanghai, People’s Republic of China (“China”). We are a leading biopharmaceutical company discovering and developing a pipeline of first-in-class therapeutics. We apply our pioneering expertise in hypoxia-inducible factor (“HIF”), connective tissue growth factor (“CTGF”) biology, and clinical development to advance innovative medicines for the treatment of anemia, fibrotic disease, and cancer. Roxadustat, our most advanced product, is an oral small molecule inhibitor of HIF prolyl hydroxylase (“HIF-PH”) activity, completing Phase 3 clinical development for the treatment of anemia in chronic kidney disease (“CKD”), with a New Drug Application (“NDA”) now approved in China in dialysis patients and non-dialysis patients and in Japan for dialysis patients. We and our collaboration partners AstraZeneca AB (“AstraZeneca”) and Astellas Pharma Inc. (“Astellas”) are in the process of preparing an NDA for submission to the United States (“U.S.”) Food and Drug Administration (“FDA”) and a Marketing Authorization Application (“MAA”) for submission to the European Medicines Agency (“EMA”). Roxadustat is in Phase 3 clinical development in the U.S. and Europe and in Phase 2/3 development in China for anemia associated with myelodysplastic syndromes (“MDS”). Roxadustat is in Phase 2 clinical development for chemotherapy-induced anemia. Pamrevlumab, an anti-CTGF human monoclonal antibody, is in Phase 3 clinical development for the treatment of both idiopathic pulmonary fibrosis (“IPF”) and pancreatic cancer. Pamrevlumab is also currently in a Phase 2 trial for Duchenne muscular dystrophy (“DMD”). We are also developing a biosynthetic cornea in China.</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3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top w:val="single" w:sz="8" w:color="auto"/>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67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3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20" w:type="dxa"/>
            <w:vAlign w:val="bottom"/>
            <w:gridSpan w:val="6"/>
          </w:tcPr>
          <w:p>
            <w:pPr>
              <w:jc w:val="right"/>
              <w:ind w:right="516"/>
              <w:spacing w:after="0" w:line="155" w:lineRule="exact"/>
              <w:rPr>
                <w:sz w:val="20"/>
                <w:szCs w:val="20"/>
                <w:color w:val="auto"/>
              </w:rPr>
            </w:pPr>
            <w:r>
              <w:rPr>
                <w:rFonts w:ascii="Arial" w:cs="Arial" w:eastAsia="Arial" w:hAnsi="Arial"/>
                <w:sz w:val="14"/>
                <w:szCs w:val="14"/>
                <w:b w:val="1"/>
                <w:bCs w:val="1"/>
                <w:color w:val="auto"/>
              </w:rPr>
              <w:t>(in thousands, except for per share data)</w:t>
            </w: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Result of Operations</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Revenue</w:t>
            </w:r>
          </w:p>
        </w:tc>
        <w:tc>
          <w:tcPr>
            <w:tcW w:w="172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33,174</w:t>
            </w:r>
          </w:p>
        </w:tc>
        <w:tc>
          <w:tcPr>
            <w:tcW w:w="1080" w:type="dxa"/>
            <w:vAlign w:val="bottom"/>
          </w:tcPr>
          <w:p>
            <w:pPr>
              <w:jc w:val="right"/>
              <w:ind w:right="83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29,027</w:t>
            </w:r>
          </w:p>
        </w:tc>
        <w:tc>
          <w:tcPr>
            <w:tcW w:w="16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248,603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104,903</w:t>
            </w:r>
          </w:p>
        </w:tc>
        <w:tc>
          <w:tcPr>
            <w:tcW w:w="10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Operating costs and expenses</w:t>
            </w:r>
          </w:p>
        </w:tc>
        <w:tc>
          <w:tcPr>
            <w:tcW w:w="172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86,028</w:t>
            </w:r>
          </w:p>
        </w:tc>
        <w:tc>
          <w:tcPr>
            <w:tcW w:w="1080" w:type="dxa"/>
            <w:vAlign w:val="bottom"/>
            <w:shd w:val="clear" w:color="auto" w:fill="CFF0FC"/>
          </w:tcPr>
          <w:p>
            <w:pPr>
              <w:jc w:val="right"/>
              <w:ind w:right="83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71,799</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237,481</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211,516</w:t>
            </w:r>
          </w:p>
        </w:tc>
        <w:tc>
          <w:tcPr>
            <w:tcW w:w="10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Net income (loss)</w:t>
            </w:r>
          </w:p>
        </w:tc>
        <w:tc>
          <w:tcPr>
            <w:tcW w:w="172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8"/>
              </w:rPr>
              <w:t>(49,439)</w:t>
            </w:r>
          </w:p>
        </w:tc>
        <w:tc>
          <w:tcPr>
            <w:tcW w:w="1080" w:type="dxa"/>
            <w:vAlign w:val="bottom"/>
          </w:tcPr>
          <w:p>
            <w:pPr>
              <w:jc w:val="right"/>
              <w:ind w:right="83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(42,556)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21,153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(107,373)</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 basic</w:t>
            </w:r>
          </w:p>
        </w:tc>
        <w:tc>
          <w:tcPr>
            <w:tcW w:w="172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1080" w:type="dxa"/>
            <w:vAlign w:val="bottom"/>
            <w:shd w:val="clear" w:color="auto" w:fill="CFF0FC"/>
          </w:tcPr>
          <w:p>
            <w:pPr>
              <w:jc w:val="right"/>
              <w:ind w:right="83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(0.50)</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0.24</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(1.28)</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172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(0.57)</w:t>
            </w:r>
          </w:p>
        </w:tc>
        <w:tc>
          <w:tcPr>
            <w:tcW w:w="1080" w:type="dxa"/>
            <w:vAlign w:val="bottom"/>
          </w:tcPr>
          <w:p>
            <w:pPr>
              <w:jc w:val="right"/>
              <w:ind w:right="83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0.23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r>
      <w:tr>
        <w:trPr>
          <w:trHeight w:val="458"/>
        </w:trPr>
        <w:tc>
          <w:tcPr>
            <w:tcW w:w="3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ind w:right="216"/>
              <w:spacing w:after="0"/>
              <w:rPr>
                <w:sz w:val="20"/>
                <w:szCs w:val="20"/>
                <w:color w:val="auto"/>
              </w:rPr>
            </w:pPr>
            <w:r>
              <w:rPr>
                <w:rFonts w:ascii="Arial" w:cs="Arial" w:eastAsia="Arial" w:hAnsi="Arial"/>
                <w:sz w:val="14"/>
                <w:szCs w:val="14"/>
                <w:b w:val="1"/>
                <w:bCs w:val="1"/>
                <w:color w:val="auto"/>
                <w:w w:val="93"/>
              </w:rPr>
              <w:t>September 30, 2019</w:t>
            </w:r>
          </w:p>
        </w:tc>
        <w:tc>
          <w:tcPr>
            <w:tcW w:w="240" w:type="dxa"/>
            <w:vAlign w:val="bottom"/>
          </w:tcPr>
          <w:p>
            <w:pPr>
              <w:spacing w:after="0"/>
              <w:rPr>
                <w:sz w:val="24"/>
                <w:szCs w:val="2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2018</w:t>
            </w:r>
          </w:p>
        </w:tc>
      </w:tr>
      <w:tr>
        <w:trPr>
          <w:trHeight w:val="156"/>
        </w:trPr>
        <w:tc>
          <w:tcPr>
            <w:tcW w:w="3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240" w:type="dxa"/>
            <w:vAlign w:val="bottom"/>
            <w:tcBorders>
              <w:top w:val="single" w:sz="8" w:color="auto"/>
            </w:tcBorders>
            <w:gridSpan w:val="3"/>
          </w:tcPr>
          <w:p>
            <w:pPr>
              <w:jc w:val="right"/>
              <w:ind w:right="1174"/>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196,592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89,258</w:t>
            </w:r>
          </w:p>
        </w:tc>
        <w:tc>
          <w:tcPr>
            <w:tcW w:w="10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Short-term and long-term investments</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443,039</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587,964</w:t>
            </w:r>
          </w:p>
        </w:tc>
        <w:tc>
          <w:tcPr>
            <w:tcW w:w="10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Accounts receivable</w:t>
            </w: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19,225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63,684</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revenue for the three and nine months ended September 30, 2019 increased compared to the same periods a year ago. Our revenue for the three and nine months ended September 30, 2019 included the recognition substantially all of $12.5 million of a regulatory milestone that was included in the transaction price during the third quarter of 2019 when this milestone was achieved. This milestone is associated with the NDA approval in Japan under the collaboration agreement with Astellas for roxadustat as the treatment for dialysis CKD patients. In addition, our revenue for the nine months ended September 30, 2019 included of the recognition of $129.0 million of two regulatory milestones totaling $130.0 million that were included in the transaction price during the second quarter of 2019 when these milestones became probable of being achieved. These milestones are associated with the planned MAA submission to the EMA under the collaboration agreement with Astellas for roxadustat as a treatment for dialysis and non-dialysis CKD patients. Our revenue recognized during the nine months ended September 30, 2019 also included the recognition of $42.1 million of a $50.0 million regulatory milestone that was included in the transaction price during the second quarter of 2019 when this milestone became probable of being achieved. This milestone is associated with the planned NDA submission to the FDA under the collaboration agreement with AstraZeneca for roxadustat as a treatment for dialysis and non-dialysis CKD patients. As comparison, our revenue for the prior year period included the recognition of $14.9 million of a $15.0 million regulatory milestone associated with NDA submission in Japan under the collaboration agreement with Astellas for roxadustat for the treatment of anemia in Japan that was included in the transaction price during the second quarter of 2018 when this milestone became probable of being achieved. The increases were partially offset by a decrease in co-development billings related to the development of roxadustat as a result of the substantial completion of Phase 3 trials for roxadustat.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Operating costs and expenses for the three months ended September 30, 2019 increased compared to the same period a year ago primarily due to $20.2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higher outside service expenses related to co-promotional activities and scientific contract expenses, $2.6 million amortization of finance lease right-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of-use (“ROU”) assets related to the adoption of lease accounting guidance under Accounting Standards Codification (“ASC”) 842 - Leases (“ASC 842”),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 million higher depreciation expenses mainly due to the change in estimated useful life for our leasehold improvements as a result of the adoption of ASC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842, and $1.4 million higher legal expenses mainly associated with patent-related and international activities. The increases were partially offset by $5.5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lower drug development expenses associated with drug substance manufacturing activities related to pamrevlumab, $4.7 million lower clinical trial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expenses related to lower activities for roxadustat offset by higher activities for pamrevlumab, and $3.7 million capitalization of inventory manufacturing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21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Operating costs and expenses for the nine months ended September 30, 2019 increased compared to the same period a year ago primarily due to $31.7 million higher outside service expenses related to co-promotional activities and scientific contract expenses, $10.4 million higher stock-based compensation related to the cumulative impact of stock option grant activities, $7.8 million amortization of finance lease ROU assets related to the adoption of lease accounting guidance under ASC 842, $3.9 million higher depreciation expenses mainly due to the change in estimated useful life for our leasehold improvements as a result of the adoption of ASC 842, $2.9 million higher legal expenses mainly associated with patent-related and international activities, and $2.4 million higher employee-related expenses resulting from higher average compensation level. The increases were partially offset by $16.4 million lower clinical trial expenses related to lower activities for roxadustat offset by higher activities for pamrevlumab, $11.7 million lower drug development expenses associated with drug substance manufacturing activities related to pamrevlumab, and $4.3 million capitalization of inventory manufacturing costs.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During the three months ended September 30, 2019, we had a net loss of $49.4 million, or net loss per basic and diluted share of $0.57, as compared to a net loss of $42.6 million for the same period a year ago, due to an increase in operating costs and expenses partially offset by an increase in revenue. During the nine months ended September 30, 2019, we had a net income of $21.2 million, or net income per basic share of $0.24, and net income per diluted share of $0.23, as compared to a net loss of $107.4 million for the same period a year ago, due to an increase in revenue partially offset by an increase in operating costs and expenses.</w:t>
      </w:r>
    </w:p>
    <w:p>
      <w:pPr>
        <w:spacing w:after="0" w:line="18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Cash and cash equivalents, investments and accounts receivable totaled $658.9 million at September 30, 2019, a decrease of $82.0 million from December 31, 2018, primarily due to the cash used in operations, partially offset by the accounts receivable at December 31, 2018 collected during the year.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Development and Commercial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Chronic Kidney Disease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Roxadustat is our most advanced product, an oral small molecule inhibitor of HIF-PH activity that acts by stimulating the body’s natural pathway of</w:t>
      </w:r>
    </w:p>
    <w:p>
      <w:pPr>
        <w:spacing w:after="0" w:line="34"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 xml:space="preserve">erythropoiesis, or red blood cell production. In August 2019, roxadustat (China tradename: </w:t>
      </w:r>
      <w:r>
        <w:rPr>
          <w:rFonts w:ascii="Arial" w:cs="Arial" w:eastAsia="Arial" w:hAnsi="Arial"/>
          <w:sz w:val="14"/>
          <w:szCs w:val="14"/>
          <w:color w:val="auto"/>
        </w:rPr>
        <w:t>®</w:t>
      </w:r>
      <w:r>
        <w:rPr>
          <w:rFonts w:ascii="Arial" w:cs="Arial" w:eastAsia="Arial" w:hAnsi="Arial"/>
          <w:sz w:val="17"/>
          <w:szCs w:val="17"/>
          <w:color w:val="auto"/>
        </w:rPr>
        <w:t>) received marketing authorization in China for the treatment of anemia caused by CKD in non-dialysis patients (adding non-dialysis to the label for dialysis which was approved in 2018). In September 2019, roxadustat (Japan tradename Evrenzo</w:t>
      </w:r>
      <w:r>
        <w:rPr>
          <w:rFonts w:ascii="Arial" w:cs="Arial" w:eastAsia="Arial" w:hAnsi="Arial"/>
          <w:sz w:val="14"/>
          <w:szCs w:val="14"/>
          <w:color w:val="auto"/>
        </w:rPr>
        <w:t>®</w:t>
      </w:r>
      <w:r>
        <w:rPr>
          <w:rFonts w:ascii="Arial" w:cs="Arial" w:eastAsia="Arial" w:hAnsi="Arial"/>
          <w:sz w:val="17"/>
          <w:szCs w:val="17"/>
          <w:color w:val="auto"/>
        </w:rPr>
        <w:t>) was approved in Japan for the treatment of anemia associated with CKD in dialysis patients.</w:t>
      </w:r>
    </w:p>
    <w:p>
      <w:pPr>
        <w:spacing w:after="0" w:line="17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reported top line efficacy data from individual studies from the roxadustat Phase 3 trials in December 2018, and top line pooled cardiovascular safety data in May 2019. We recently reported additional individual study data and pooled safety data at the American Society of Nephrology Kidney Week 2019. We expect these data will serve as the basis to submit the roxadustat U.S. NDA in the fourth quarter of 2019 for CKD anemia in both dialysis and non-dialysis patients, followed by the MAA in Europe in the first quarter of 2020.</w:t>
      </w:r>
    </w:p>
    <w:p>
      <w:pPr>
        <w:spacing w:after="0" w:line="295"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Pooled Efficacy Data</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addition to meeting the U.S. primary efficacy endpoint in each of six individual Phase 3 studies, roxadustat superiority over placebo was demonstrated in the primary endpoint as the mean change in hemoglobin (from baseline to the average between weeks 28-52) was significantly larger than placebo (1.85 g/dL vs. 0.13 g/dL, p&lt;0.001) in the non-dialysis pool (4,277 patients from OLYMPUS, ANDES, and ALPS). In addition, the mean change in hemoglobin (from baseline to the average between weeks 28-52) in roxadustat patients was significantly larger than in epoetin alfa patients (1.22 g/dL vs. 0.99 g/dL, p&lt;0.001) in the pooled dialysis studies (3,857 patients from HIMALAYAS, SIERRAS, and ROCKIES).</w:t>
      </w:r>
    </w:p>
    <w:p>
      <w:pPr>
        <w:spacing w:after="0" w:line="173" w:lineRule="exact"/>
        <w:rPr>
          <w:sz w:val="20"/>
          <w:szCs w:val="20"/>
          <w:color w:val="auto"/>
        </w:rPr>
      </w:pPr>
    </w:p>
    <w:p>
      <w:pPr>
        <w:ind w:left="380" w:hanging="372"/>
        <w:spacing w:after="0"/>
        <w:tabs>
          <w:tab w:leader="none" w:pos="380" w:val="left"/>
        </w:tabs>
        <w:numPr>
          <w:ilvl w:val="0"/>
          <w:numId w:val="13"/>
        </w:numPr>
        <w:rPr>
          <w:rFonts w:ascii="Courier New" w:cs="Courier New" w:eastAsia="Courier New" w:hAnsi="Courier New"/>
          <w:sz w:val="18"/>
          <w:szCs w:val="18"/>
          <w:color w:val="auto"/>
        </w:rPr>
      </w:pPr>
      <w:r>
        <w:rPr>
          <w:rFonts w:ascii="Arial" w:cs="Arial" w:eastAsia="Arial" w:hAnsi="Arial"/>
          <w:sz w:val="18"/>
          <w:szCs w:val="18"/>
          <w:i w:val="1"/>
          <w:iCs w:val="1"/>
          <w:color w:val="auto"/>
        </w:rPr>
        <w:t>Patients with Inflammation</w:t>
      </w:r>
    </w:p>
    <w:p>
      <w:pPr>
        <w:spacing w:after="0" w:line="101" w:lineRule="exact"/>
        <w:rPr>
          <w:rFonts w:ascii="Courier New" w:cs="Courier New" w:eastAsia="Courier New" w:hAnsi="Courier New"/>
          <w:sz w:val="18"/>
          <w:szCs w:val="18"/>
          <w:color w:val="auto"/>
        </w:rPr>
      </w:pPr>
    </w:p>
    <w:p>
      <w:pPr>
        <w:ind w:left="380" w:right="120"/>
        <w:spacing w:after="0" w:line="264" w:lineRule="auto"/>
        <w:rPr>
          <w:rFonts w:ascii="Courier New" w:cs="Courier New" w:eastAsia="Courier New" w:hAnsi="Courier New"/>
          <w:sz w:val="18"/>
          <w:szCs w:val="18"/>
          <w:color w:val="auto"/>
        </w:rPr>
      </w:pPr>
      <w:r>
        <w:rPr>
          <w:rFonts w:ascii="Arial" w:cs="Arial" w:eastAsia="Arial" w:hAnsi="Arial"/>
          <w:sz w:val="18"/>
          <w:szCs w:val="18"/>
          <w:color w:val="auto"/>
        </w:rPr>
        <w:t>In a subgroup of dialysis patients with inflammation (C-reactive protein (“CRP”) levels over 4.9 mg/L), the mean change in hemoglobin (from baseline to the average between weeks 28-52) was significantly higher in roxadustat-treated patients (1.29 g/dL) than epoetin alfa treated patients (0.96 g/dL, p&lt;0.0001).</w:t>
      </w:r>
    </w:p>
    <w:p>
      <w:pPr>
        <w:spacing w:after="0" w:line="181" w:lineRule="exact"/>
        <w:rPr>
          <w:rFonts w:ascii="Courier New" w:cs="Courier New" w:eastAsia="Courier New" w:hAnsi="Courier New"/>
          <w:sz w:val="18"/>
          <w:szCs w:val="18"/>
          <w:color w:val="auto"/>
        </w:rPr>
      </w:pPr>
    </w:p>
    <w:p>
      <w:pPr>
        <w:ind w:left="380" w:hanging="372"/>
        <w:spacing w:after="0"/>
        <w:tabs>
          <w:tab w:leader="none" w:pos="380" w:val="left"/>
        </w:tabs>
        <w:numPr>
          <w:ilvl w:val="0"/>
          <w:numId w:val="13"/>
        </w:numPr>
        <w:rPr>
          <w:rFonts w:ascii="Courier New" w:cs="Courier New" w:eastAsia="Courier New" w:hAnsi="Courier New"/>
          <w:sz w:val="18"/>
          <w:szCs w:val="18"/>
          <w:color w:val="auto"/>
        </w:rPr>
      </w:pPr>
      <w:r>
        <w:rPr>
          <w:rFonts w:ascii="Arial" w:cs="Arial" w:eastAsia="Arial" w:hAnsi="Arial"/>
          <w:sz w:val="18"/>
          <w:szCs w:val="18"/>
          <w:i w:val="1"/>
          <w:iCs w:val="1"/>
          <w:color w:val="auto"/>
        </w:rPr>
        <w:t>Intravenous (“IV”) Iron Requirement; Efficacy Irrespective of Iron Replete Status</w:t>
      </w:r>
    </w:p>
    <w:p>
      <w:pPr>
        <w:spacing w:after="0" w:line="101" w:lineRule="exact"/>
        <w:rPr>
          <w:rFonts w:ascii="Courier New" w:cs="Courier New" w:eastAsia="Courier New" w:hAnsi="Courier New"/>
          <w:sz w:val="18"/>
          <w:szCs w:val="18"/>
          <w:color w:val="auto"/>
        </w:rPr>
      </w:pPr>
    </w:p>
    <w:p>
      <w:pPr>
        <w:ind w:left="380" w:right="180"/>
        <w:spacing w:after="0" w:line="312" w:lineRule="auto"/>
        <w:rPr>
          <w:rFonts w:ascii="Courier New" w:cs="Courier New" w:eastAsia="Courier New" w:hAnsi="Courier New"/>
          <w:sz w:val="18"/>
          <w:szCs w:val="18"/>
          <w:color w:val="auto"/>
        </w:rPr>
      </w:pPr>
      <w:r>
        <w:rPr>
          <w:rFonts w:ascii="Arial" w:cs="Arial" w:eastAsia="Arial" w:hAnsi="Arial"/>
          <w:sz w:val="16"/>
          <w:szCs w:val="16"/>
          <w:color w:val="auto"/>
        </w:rPr>
        <w:t>In non-dialysis, roxadustat increased hemoglobin (by 1.94 g/dL) regardless of whether patients were iron-replete (patients shown to have sufficient baseline stores of iron in their body, TSAT ≥20% and Ferritin ≥100 ng/mL) or not iron-replete. In dialysis, less mean monthly IV iron supplementation was required at weeks 28-52 in patients receiving roxadustat versus patients receiving epoetin alfa in pooled analysis, p&lt; 0.0001.</w:t>
      </w:r>
    </w:p>
    <w:p>
      <w:pPr>
        <w:spacing w:after="0" w:line="146" w:lineRule="exact"/>
        <w:rPr>
          <w:rFonts w:ascii="Courier New" w:cs="Courier New" w:eastAsia="Courier New" w:hAnsi="Courier New"/>
          <w:sz w:val="18"/>
          <w:szCs w:val="18"/>
          <w:color w:val="auto"/>
        </w:rPr>
      </w:pPr>
    </w:p>
    <w:p>
      <w:pPr>
        <w:ind w:left="380" w:hanging="372"/>
        <w:spacing w:after="0"/>
        <w:tabs>
          <w:tab w:leader="none" w:pos="380" w:val="left"/>
        </w:tabs>
        <w:numPr>
          <w:ilvl w:val="0"/>
          <w:numId w:val="13"/>
        </w:numPr>
        <w:rPr>
          <w:rFonts w:ascii="Courier New" w:cs="Courier New" w:eastAsia="Courier New" w:hAnsi="Courier New"/>
          <w:sz w:val="18"/>
          <w:szCs w:val="18"/>
          <w:color w:val="auto"/>
        </w:rPr>
      </w:pPr>
      <w:r>
        <w:rPr>
          <w:rFonts w:ascii="Arial" w:cs="Arial" w:eastAsia="Arial" w:hAnsi="Arial"/>
          <w:sz w:val="18"/>
          <w:szCs w:val="18"/>
          <w:i w:val="1"/>
          <w:iCs w:val="1"/>
          <w:color w:val="auto"/>
        </w:rPr>
        <w:t>Risk of Rescue Therapy and Transfusion</w:t>
      </w:r>
    </w:p>
    <w:p>
      <w:pPr>
        <w:spacing w:after="0" w:line="101" w:lineRule="exact"/>
        <w:rPr>
          <w:rFonts w:ascii="Courier New" w:cs="Courier New" w:eastAsia="Courier New" w:hAnsi="Courier New"/>
          <w:sz w:val="18"/>
          <w:szCs w:val="18"/>
          <w:color w:val="auto"/>
        </w:rPr>
      </w:pPr>
    </w:p>
    <w:p>
      <w:pPr>
        <w:ind w:left="380" w:right="20"/>
        <w:spacing w:after="0" w:line="259" w:lineRule="auto"/>
        <w:rPr>
          <w:rFonts w:ascii="Courier New" w:cs="Courier New" w:eastAsia="Courier New" w:hAnsi="Courier New"/>
          <w:sz w:val="18"/>
          <w:szCs w:val="18"/>
          <w:color w:val="auto"/>
        </w:rPr>
      </w:pPr>
      <w:r>
        <w:rPr>
          <w:rFonts w:ascii="Arial" w:cs="Arial" w:eastAsia="Arial" w:hAnsi="Arial"/>
          <w:sz w:val="18"/>
          <w:szCs w:val="18"/>
          <w:color w:val="auto"/>
        </w:rPr>
        <w:t>The risk of rescue therapy was significantly lower in the roxadustat arm (8.9%) than the placebo arm (31.1%) in the pooled non-dialysis patients with a hazard ratio (“HR”) = 0.19 (95% confidence interval “95% CI” of 0.16, 0.23), p&lt;0.0001. The percentage of patients receiving red blood cell transfusions during the first year of treatment was also significantly lower in the roxadustat arm (5.2%) as compared to the placebo arm (15.4%) (HR (95% CI) = 0.26 (0.21, 0.32), p&lt;0.0001).</w:t>
      </w:r>
    </w:p>
    <w:p>
      <w:pPr>
        <w:spacing w:after="0" w:line="187" w:lineRule="exact"/>
        <w:rPr>
          <w:sz w:val="20"/>
          <w:szCs w:val="20"/>
          <w:color w:val="auto"/>
        </w:rPr>
      </w:pPr>
    </w:p>
    <w:p>
      <w:pPr>
        <w:ind w:left="380" w:right="140"/>
        <w:spacing w:after="0" w:line="277" w:lineRule="auto"/>
        <w:rPr>
          <w:sz w:val="20"/>
          <w:szCs w:val="20"/>
          <w:color w:val="auto"/>
        </w:rPr>
      </w:pPr>
      <w:r>
        <w:rPr>
          <w:rFonts w:ascii="Arial" w:cs="Arial" w:eastAsia="Arial" w:hAnsi="Arial"/>
          <w:sz w:val="18"/>
          <w:szCs w:val="18"/>
          <w:color w:val="auto"/>
        </w:rPr>
        <w:t>In the dialysis pool, during the first year of treatment, patients in the roxadustat arm had a lower transfusion risk (9.5%) as compared to the epoetin alfa arm (12.8%) (HR (95% CI) = 0.82 (0.679, 0.997), p=0.046).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380" w:hanging="372"/>
        <w:spacing w:after="0"/>
        <w:tabs>
          <w:tab w:leader="none" w:pos="380" w:val="left"/>
        </w:tabs>
        <w:numPr>
          <w:ilvl w:val="0"/>
          <w:numId w:val="14"/>
        </w:numPr>
        <w:rPr>
          <w:rFonts w:ascii="Courier New" w:cs="Courier New" w:eastAsia="Courier New" w:hAnsi="Courier New"/>
          <w:sz w:val="18"/>
          <w:szCs w:val="18"/>
          <w:color w:val="auto"/>
        </w:rPr>
      </w:pPr>
      <w:r>
        <w:rPr>
          <w:rFonts w:ascii="Arial" w:cs="Arial" w:eastAsia="Arial" w:hAnsi="Arial"/>
          <w:sz w:val="18"/>
          <w:szCs w:val="18"/>
          <w:i w:val="1"/>
          <w:iCs w:val="1"/>
          <w:color w:val="auto"/>
        </w:rPr>
        <w:t>Reduction of Decline in Kidney Function as Measured by eGFR</w:t>
      </w:r>
    </w:p>
    <w:p>
      <w:pPr>
        <w:spacing w:after="0" w:line="101" w:lineRule="exact"/>
        <w:rPr>
          <w:rFonts w:ascii="Courier New" w:cs="Courier New" w:eastAsia="Courier New" w:hAnsi="Courier New"/>
          <w:sz w:val="18"/>
          <w:szCs w:val="18"/>
          <w:color w:val="auto"/>
        </w:rPr>
      </w:pPr>
    </w:p>
    <w:p>
      <w:pPr>
        <w:ind w:left="380"/>
        <w:spacing w:after="0" w:line="264" w:lineRule="auto"/>
        <w:rPr>
          <w:rFonts w:ascii="Courier New" w:cs="Courier New" w:eastAsia="Courier New" w:hAnsi="Courier New"/>
          <w:sz w:val="18"/>
          <w:szCs w:val="18"/>
          <w:color w:val="auto"/>
        </w:rPr>
      </w:pPr>
      <w:r>
        <w:rPr>
          <w:rFonts w:ascii="Arial" w:cs="Arial" w:eastAsia="Arial" w:hAnsi="Arial"/>
          <w:sz w:val="18"/>
          <w:szCs w:val="18"/>
          <w:color w:val="auto"/>
        </w:rPr>
        <w:t>In a post hoc subgroup analysis of 2,438 non-dialysis patients with baseline eGFR≥15, the one-year decline in estimated glomerular filtration rate (“eGFR,” a measure of the filtration function of kidney and renal disease progression) in roxadustat treated patients (-2.8) was significantly less than that in placebo treated patients (-4.4), with a treatment difference of 1.6 mL/min/1.73m</w:t>
      </w:r>
      <w:r>
        <w:rPr>
          <w:rFonts w:ascii="Arial" w:cs="Arial" w:eastAsia="Arial" w:hAnsi="Arial"/>
          <w:sz w:val="15"/>
          <w:szCs w:val="15"/>
          <w:color w:val="auto"/>
        </w:rPr>
        <w:t>2</w:t>
      </w:r>
      <w:r>
        <w:rPr>
          <w:rFonts w:ascii="Arial" w:cs="Arial" w:eastAsia="Arial" w:hAnsi="Arial"/>
          <w:sz w:val="18"/>
          <w:szCs w:val="18"/>
          <w:color w:val="auto"/>
        </w:rPr>
        <w:t xml:space="preserve"> (p&lt;0.0001).</w:t>
      </w:r>
    </w:p>
    <w:p>
      <w:pPr>
        <w:spacing w:after="0" w:line="181" w:lineRule="exact"/>
        <w:rPr>
          <w:rFonts w:ascii="Courier New" w:cs="Courier New" w:eastAsia="Courier New" w:hAnsi="Courier New"/>
          <w:sz w:val="18"/>
          <w:szCs w:val="18"/>
          <w:color w:val="auto"/>
        </w:rPr>
      </w:pPr>
    </w:p>
    <w:p>
      <w:pPr>
        <w:ind w:left="380" w:hanging="372"/>
        <w:spacing w:after="0"/>
        <w:tabs>
          <w:tab w:leader="none" w:pos="380" w:val="left"/>
        </w:tabs>
        <w:numPr>
          <w:ilvl w:val="0"/>
          <w:numId w:val="14"/>
        </w:numPr>
        <w:rPr>
          <w:rFonts w:ascii="Courier New" w:cs="Courier New" w:eastAsia="Courier New" w:hAnsi="Courier New"/>
          <w:sz w:val="18"/>
          <w:szCs w:val="18"/>
          <w:color w:val="auto"/>
        </w:rPr>
      </w:pPr>
      <w:r>
        <w:rPr>
          <w:rFonts w:ascii="Arial" w:cs="Arial" w:eastAsia="Arial" w:hAnsi="Arial"/>
          <w:sz w:val="18"/>
          <w:szCs w:val="18"/>
          <w:i w:val="1"/>
          <w:iCs w:val="1"/>
          <w:color w:val="auto"/>
        </w:rPr>
        <w:t>Reduction of LDL Cholesterol</w:t>
      </w:r>
    </w:p>
    <w:p>
      <w:pPr>
        <w:spacing w:after="0" w:line="101" w:lineRule="exact"/>
        <w:rPr>
          <w:rFonts w:ascii="Courier New" w:cs="Courier New" w:eastAsia="Courier New" w:hAnsi="Courier New"/>
          <w:sz w:val="18"/>
          <w:szCs w:val="18"/>
          <w:color w:val="auto"/>
        </w:rPr>
      </w:pPr>
    </w:p>
    <w:p>
      <w:pPr>
        <w:ind w:left="380" w:right="60"/>
        <w:spacing w:after="0" w:line="277" w:lineRule="auto"/>
        <w:rPr>
          <w:rFonts w:ascii="Courier New" w:cs="Courier New" w:eastAsia="Courier New" w:hAnsi="Courier New"/>
          <w:sz w:val="18"/>
          <w:szCs w:val="18"/>
          <w:color w:val="auto"/>
        </w:rPr>
      </w:pPr>
      <w:r>
        <w:rPr>
          <w:rFonts w:ascii="Arial" w:cs="Arial" w:eastAsia="Arial" w:hAnsi="Arial"/>
          <w:sz w:val="18"/>
          <w:szCs w:val="18"/>
          <w:color w:val="auto"/>
        </w:rPr>
        <w:t>In the pooled non-dialysis patients, roxadustat lowered low-density lipoproteins (“LDL”), with a mean change from baseline of -17.06 mg/dL compared to an increase of 1.30 mg/dL for placebo patients, a significant treatment difference of -19.83 mg/dL (p&lt;0.0001).</w:t>
      </w:r>
    </w:p>
    <w:p>
      <w:pPr>
        <w:spacing w:after="0" w:line="279"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Pooled Cardiovascular Safety Data</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U.S., the primary safety endpoint is time to first Major Adverse Cardiovascular Event (“MACE”), a composite endpoint of all-cause mortality, stroke and myocardial infarction. In Europe, the primary safety endpoint is the time to first MACE+ (“MACE+”) which, in addition to the components in MACE, also includes hospitalization due to heart failure or unstable angina. However, the FDA in the U.S., and the EMA in Europe, will each review MACE, MACE+, and all-cause mortality separately, in addition to other endpoints.</w:t>
      </w:r>
    </w:p>
    <w:p>
      <w:pPr>
        <w:spacing w:after="0" w:line="187" w:lineRule="exact"/>
        <w:rPr>
          <w:sz w:val="20"/>
          <w:szCs w:val="20"/>
          <w:color w:val="auto"/>
        </w:rPr>
      </w:pPr>
    </w:p>
    <w:p>
      <w:pPr>
        <w:jc w:val="both"/>
        <w:ind w:right="280"/>
        <w:spacing w:after="0" w:line="297" w:lineRule="auto"/>
        <w:rPr>
          <w:sz w:val="20"/>
          <w:szCs w:val="20"/>
          <w:color w:val="auto"/>
        </w:rPr>
      </w:pPr>
      <w:r>
        <w:rPr>
          <w:rFonts w:ascii="Arial" w:cs="Arial" w:eastAsia="Arial" w:hAnsi="Arial"/>
          <w:sz w:val="16"/>
          <w:szCs w:val="16"/>
          <w:color w:val="auto"/>
        </w:rPr>
        <w:t>The below cardiovascular safety analyses reflect the pooling strategy and analytical approach we agreed on with the FDA. Similar sets of analyses will be submitted to the EMA to serve as the basis for potential approval in dialysis and non-dialysis in Europe, and additional supportive analyses and sensitivity analyses as well as subgroup analyses will also be included in the NDA and MAA. However, the FDA and EMA will each conduct their own benefit-risk analysis and may use additional statistical analyses other than those agreed with the FDA or set forth below, including, but not limited to, pre-specified or other analyses that may not sufficiently address the differential drop-out rate between the roxadustat and placebo study arms in non-dialysis.</w:t>
      </w:r>
    </w:p>
    <w:p>
      <w:pPr>
        <w:spacing w:after="0" w:line="158" w:lineRule="exact"/>
        <w:rPr>
          <w:sz w:val="20"/>
          <w:szCs w:val="20"/>
          <w:color w:val="auto"/>
        </w:rPr>
      </w:pPr>
    </w:p>
    <w:p>
      <w:pPr>
        <w:ind w:left="380" w:hanging="372"/>
        <w:spacing w:after="0"/>
        <w:tabs>
          <w:tab w:leader="none" w:pos="380" w:val="left"/>
        </w:tabs>
        <w:numPr>
          <w:ilvl w:val="0"/>
          <w:numId w:val="16"/>
        </w:numPr>
        <w:rPr>
          <w:rFonts w:ascii="Courier New" w:cs="Courier New" w:eastAsia="Courier New" w:hAnsi="Courier New"/>
          <w:sz w:val="18"/>
          <w:szCs w:val="18"/>
          <w:color w:val="auto"/>
        </w:rPr>
      </w:pPr>
      <w:r>
        <w:rPr>
          <w:rFonts w:ascii="Arial" w:cs="Arial" w:eastAsia="Arial" w:hAnsi="Arial"/>
          <w:sz w:val="18"/>
          <w:szCs w:val="18"/>
          <w:i w:val="1"/>
          <w:iCs w:val="1"/>
          <w:color w:val="auto"/>
        </w:rPr>
        <w:t>Non-Dialysis - Pooled Cardiovascular Safety Data</w:t>
      </w:r>
    </w:p>
    <w:p>
      <w:pPr>
        <w:spacing w:after="0" w:line="101" w:lineRule="exact"/>
        <w:rPr>
          <w:rFonts w:ascii="Courier New" w:cs="Courier New" w:eastAsia="Courier New" w:hAnsi="Courier New"/>
          <w:sz w:val="18"/>
          <w:szCs w:val="18"/>
          <w:color w:val="auto"/>
        </w:rPr>
      </w:pPr>
    </w:p>
    <w:p>
      <w:pPr>
        <w:ind w:left="380" w:right="80"/>
        <w:spacing w:after="0" w:line="279" w:lineRule="auto"/>
        <w:rPr>
          <w:rFonts w:ascii="Courier New" w:cs="Courier New" w:eastAsia="Courier New" w:hAnsi="Courier New"/>
          <w:sz w:val="18"/>
          <w:szCs w:val="18"/>
          <w:color w:val="auto"/>
        </w:rPr>
      </w:pPr>
      <w:r>
        <w:rPr>
          <w:rFonts w:ascii="Arial" w:cs="Arial" w:eastAsia="Arial" w:hAnsi="Arial"/>
          <w:sz w:val="17"/>
          <w:szCs w:val="17"/>
          <w:color w:val="auto"/>
        </w:rPr>
        <w:t>In our pre-NDA meeting, the FDA agreed that the ITT-analysis would be our primary cardiovascular safety analysis method for non-dialysis in the U.S. as it uses on-treatment and post treatment long term follow-up (until a common study end date) to account for the higher drop-out rate in the placebo arm. The figure below shows that in the 4,270 pooled non-dialysis patients (OLYMPUS, ANDES, and ALPS), the risk of MACE, MACE+, and all-cause mortality in roxadustat patients were comparable to that in placebo patients based on a reference non-inferiority margin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118110</wp:posOffset>
            </wp:positionV>
            <wp:extent cx="4253865" cy="21697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53865"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380" w:hanging="372"/>
        <w:spacing w:after="0"/>
        <w:tabs>
          <w:tab w:leader="none" w:pos="380" w:val="left"/>
        </w:tabs>
        <w:numPr>
          <w:ilvl w:val="0"/>
          <w:numId w:val="17"/>
        </w:numPr>
        <w:rPr>
          <w:rFonts w:ascii="Courier New" w:cs="Courier New" w:eastAsia="Courier New" w:hAnsi="Courier New"/>
          <w:sz w:val="18"/>
          <w:szCs w:val="18"/>
          <w:color w:val="auto"/>
        </w:rPr>
      </w:pPr>
      <w:r>
        <w:rPr>
          <w:rFonts w:ascii="Arial" w:cs="Arial" w:eastAsia="Arial" w:hAnsi="Arial"/>
          <w:sz w:val="18"/>
          <w:szCs w:val="18"/>
          <w:i w:val="1"/>
          <w:iCs w:val="1"/>
          <w:color w:val="auto"/>
        </w:rPr>
        <w:t>Dialysis - Pooled Cardiovascular Safety Data</w:t>
      </w:r>
    </w:p>
    <w:p>
      <w:pPr>
        <w:spacing w:after="0" w:line="101" w:lineRule="exact"/>
        <w:rPr>
          <w:rFonts w:ascii="Courier New" w:cs="Courier New" w:eastAsia="Courier New" w:hAnsi="Courier New"/>
          <w:sz w:val="18"/>
          <w:szCs w:val="18"/>
          <w:color w:val="auto"/>
        </w:rPr>
      </w:pPr>
    </w:p>
    <w:p>
      <w:pPr>
        <w:ind w:left="380" w:right="40"/>
        <w:spacing w:after="0" w:line="286" w:lineRule="auto"/>
        <w:rPr>
          <w:rFonts w:ascii="Courier New" w:cs="Courier New" w:eastAsia="Courier New" w:hAnsi="Courier New"/>
          <w:sz w:val="18"/>
          <w:szCs w:val="18"/>
          <w:color w:val="auto"/>
        </w:rPr>
      </w:pPr>
      <w:r>
        <w:rPr>
          <w:rFonts w:ascii="Arial" w:cs="Arial" w:eastAsia="Arial" w:hAnsi="Arial"/>
          <w:sz w:val="17"/>
          <w:szCs w:val="17"/>
          <w:color w:val="auto"/>
        </w:rPr>
        <w:t>In the pooled analysis of 3,880 dialysis patients (HIMALAYAS, SIERRAS, and ROCKIES), the risk of MACE and all-cause mortality in roxadustat patients were not increased, and roxadustat lowered the risk of MACE+ by 14% compared to the active comparator epoetin alfa, based on a hazard ratio of 0.86 and an upper bound of 95% CI under 1.0. The hazard ratios represent a point estimate of relative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114300</wp:posOffset>
            </wp:positionV>
            <wp:extent cx="4673600" cy="18440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73600"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80" w:hanging="372"/>
        <w:spacing w:after="0"/>
        <w:tabs>
          <w:tab w:leader="none" w:pos="380" w:val="left"/>
        </w:tabs>
        <w:numPr>
          <w:ilvl w:val="0"/>
          <w:numId w:val="18"/>
        </w:numPr>
        <w:rPr>
          <w:rFonts w:ascii="Courier New" w:cs="Courier New" w:eastAsia="Courier New" w:hAnsi="Courier New"/>
          <w:sz w:val="18"/>
          <w:szCs w:val="18"/>
          <w:color w:val="auto"/>
        </w:rPr>
      </w:pPr>
      <w:r>
        <w:rPr>
          <w:rFonts w:ascii="Arial" w:cs="Arial" w:eastAsia="Arial" w:hAnsi="Arial"/>
          <w:sz w:val="18"/>
          <w:szCs w:val="18"/>
          <w:i w:val="1"/>
          <w:iCs w:val="1"/>
          <w:color w:val="auto"/>
        </w:rPr>
        <w:t>Incident Dialysis Subgroup</w:t>
      </w:r>
    </w:p>
    <w:p>
      <w:pPr>
        <w:spacing w:after="0" w:line="101" w:lineRule="exact"/>
        <w:rPr>
          <w:rFonts w:ascii="Courier New" w:cs="Courier New" w:eastAsia="Courier New" w:hAnsi="Courier New"/>
          <w:sz w:val="18"/>
          <w:szCs w:val="18"/>
          <w:color w:val="auto"/>
        </w:rPr>
      </w:pPr>
    </w:p>
    <w:p>
      <w:pPr>
        <w:ind w:left="380"/>
        <w:spacing w:after="0" w:line="255" w:lineRule="auto"/>
        <w:rPr>
          <w:rFonts w:ascii="Courier New" w:cs="Courier New" w:eastAsia="Courier New" w:hAnsi="Courier New"/>
          <w:sz w:val="18"/>
          <w:szCs w:val="18"/>
          <w:color w:val="auto"/>
        </w:rPr>
      </w:pPr>
      <w:r>
        <w:rPr>
          <w:rFonts w:ascii="Arial" w:cs="Arial" w:eastAsia="Arial" w:hAnsi="Arial"/>
          <w:sz w:val="18"/>
          <w:szCs w:val="18"/>
          <w:color w:val="auto"/>
        </w:rPr>
        <w:t>In the clinically important subgroup of 1,526 incident dialysis patients, roxadustat reduced the risk of MACE by 30% and MACE+ by 34%, with a trend towards lower all-cause mortality. The lower MACE and MACE+ risks (compared to epoetin alfa) are based on hazard ratios of 0.70 and 0.66, respectively, with the upper bound of 95% CI under 1.0 in both. We believe this incident dialysis subpopulation is the appropriate setting for comparison of roxadustat versus epoetin alfa as anemia therapy often starts early in dialysis treatment, and this period of initial dialysis treatment has substantially increased patient mortality, whereas the stable dialysis population have survived this period and are already shown to be responsive to stable ESA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131445</wp:posOffset>
            </wp:positionV>
            <wp:extent cx="3841750" cy="23755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41750"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Data from Individual Studies Presented at ASN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and our partners also presented data from our individual Phase 3 roxadustat studies at the American Society of Nephrology Kidney Week 2019.</w:t>
      </w:r>
    </w:p>
    <w:p>
      <w:pPr>
        <w:spacing w:after="0" w:line="237" w:lineRule="exact"/>
        <w:rPr>
          <w:sz w:val="20"/>
          <w:szCs w:val="20"/>
          <w:color w:val="auto"/>
        </w:rPr>
      </w:pPr>
    </w:p>
    <w:p>
      <w:pPr>
        <w:ind w:left="380" w:hanging="372"/>
        <w:spacing w:after="0"/>
        <w:tabs>
          <w:tab w:leader="none" w:pos="380" w:val="left"/>
        </w:tabs>
        <w:numPr>
          <w:ilvl w:val="0"/>
          <w:numId w:val="20"/>
        </w:numPr>
        <w:rPr>
          <w:rFonts w:ascii="Courier New" w:cs="Courier New" w:eastAsia="Courier New" w:hAnsi="Courier New"/>
          <w:sz w:val="18"/>
          <w:szCs w:val="18"/>
          <w:color w:val="auto"/>
        </w:rPr>
      </w:pPr>
      <w:r>
        <w:rPr>
          <w:rFonts w:ascii="Arial" w:cs="Arial" w:eastAsia="Arial" w:hAnsi="Arial"/>
          <w:sz w:val="18"/>
          <w:szCs w:val="18"/>
          <w:i w:val="1"/>
          <w:iCs w:val="1"/>
          <w:color w:val="auto"/>
        </w:rPr>
        <w:t>Non-Dialysis CKD Patients (ANDES) – FibroGen</w:t>
      </w:r>
    </w:p>
    <w:p>
      <w:pPr>
        <w:spacing w:after="0" w:line="101" w:lineRule="exact"/>
        <w:rPr>
          <w:rFonts w:ascii="Courier New" w:cs="Courier New" w:eastAsia="Courier New" w:hAnsi="Courier New"/>
          <w:sz w:val="18"/>
          <w:szCs w:val="18"/>
          <w:color w:val="auto"/>
        </w:rPr>
      </w:pPr>
    </w:p>
    <w:p>
      <w:pPr>
        <w:ind w:left="380" w:right="340"/>
        <w:spacing w:after="0" w:line="277" w:lineRule="auto"/>
        <w:rPr>
          <w:rFonts w:ascii="Courier New" w:cs="Courier New" w:eastAsia="Courier New" w:hAnsi="Courier New"/>
          <w:sz w:val="18"/>
          <w:szCs w:val="18"/>
          <w:color w:val="auto"/>
        </w:rPr>
      </w:pPr>
      <w:r>
        <w:rPr>
          <w:rFonts w:ascii="Arial" w:cs="Arial" w:eastAsia="Arial" w:hAnsi="Arial"/>
          <w:sz w:val="18"/>
          <w:szCs w:val="18"/>
          <w:color w:val="auto"/>
        </w:rPr>
        <w:t>ANDES is a 922-patient Phase 3, randomized, double-blinded, placebo-controlled trial designed to evaluate the efficacy and safety of roxadustat vs. placebo for the treatment of anemia in patients with later stage CKD (stages 3, 4 or 5) who are not dialysis dependent.</w:t>
      </w:r>
    </w:p>
    <w:p>
      <w:pPr>
        <w:spacing w:after="0" w:line="170" w:lineRule="exact"/>
        <w:rPr>
          <w:rFonts w:ascii="Courier New" w:cs="Courier New" w:eastAsia="Courier New" w:hAnsi="Courier New"/>
          <w:sz w:val="18"/>
          <w:szCs w:val="18"/>
          <w:color w:val="auto"/>
        </w:rPr>
      </w:pPr>
    </w:p>
    <w:p>
      <w:pPr>
        <w:ind w:left="380" w:right="100"/>
        <w:spacing w:after="0" w:line="277" w:lineRule="auto"/>
        <w:rPr>
          <w:rFonts w:ascii="Courier New" w:cs="Courier New" w:eastAsia="Courier New" w:hAnsi="Courier New"/>
          <w:sz w:val="18"/>
          <w:szCs w:val="18"/>
          <w:color w:val="auto"/>
        </w:rPr>
      </w:pPr>
      <w:r>
        <w:rPr>
          <w:rFonts w:ascii="Arial" w:cs="Arial" w:eastAsia="Arial" w:hAnsi="Arial"/>
          <w:sz w:val="18"/>
          <w:szCs w:val="18"/>
          <w:color w:val="auto"/>
        </w:rPr>
        <w:t>U.S. primary efficacy endpoint: roxadustat was superior to placebo in mean hemoglobin change from baseline to the average over weeks 28 to 52 (2.00 vs. 0.16 g/dL, respectively, p&lt;0.0001).</w:t>
      </w:r>
    </w:p>
    <w:p>
      <w:pPr>
        <w:spacing w:after="0" w:line="170" w:lineRule="exact"/>
        <w:rPr>
          <w:rFonts w:ascii="Courier New" w:cs="Courier New" w:eastAsia="Courier New" w:hAnsi="Courier New"/>
          <w:sz w:val="18"/>
          <w:szCs w:val="18"/>
          <w:color w:val="auto"/>
        </w:rPr>
      </w:pPr>
    </w:p>
    <w:p>
      <w:pPr>
        <w:ind w:left="380" w:right="220"/>
        <w:spacing w:after="0" w:line="259" w:lineRule="auto"/>
        <w:rPr>
          <w:rFonts w:ascii="Courier New" w:cs="Courier New" w:eastAsia="Courier New" w:hAnsi="Courier New"/>
          <w:sz w:val="18"/>
          <w:szCs w:val="18"/>
          <w:color w:val="auto"/>
        </w:rPr>
      </w:pPr>
      <w:r>
        <w:rPr>
          <w:rFonts w:ascii="Arial" w:cs="Arial" w:eastAsia="Arial" w:hAnsi="Arial"/>
          <w:sz w:val="18"/>
          <w:szCs w:val="18"/>
          <w:color w:val="auto"/>
        </w:rPr>
        <w:t>EU primary efficacy endpoint: a higher proportion of roxadustat-treated patients (86.0%) achieved a hemoglobin response (defined as achieving a hemoglobin level of at least 11 g/dL on two consecutive visits during the first 24-weeks of treatment and a hemoglobin increase of at least 1.0 g/dL in subjects with baseline Hb &gt;8.0 g/dL, or an increase of at least 2.0 g/dL in subjects with baseline Hb ≤8.0 g/dL), as compared to placebo (6.6%), p=0.0007.</w:t>
      </w:r>
    </w:p>
    <w:p>
      <w:pPr>
        <w:spacing w:after="0" w:line="186" w:lineRule="exact"/>
        <w:rPr>
          <w:rFonts w:ascii="Courier New" w:cs="Courier New" w:eastAsia="Courier New" w:hAnsi="Courier New"/>
          <w:sz w:val="18"/>
          <w:szCs w:val="18"/>
          <w:color w:val="auto"/>
        </w:rPr>
      </w:pPr>
    </w:p>
    <w:p>
      <w:pPr>
        <w:ind w:left="380"/>
        <w:spacing w:after="0" w:line="259" w:lineRule="auto"/>
        <w:rPr>
          <w:rFonts w:ascii="Courier New" w:cs="Courier New" w:eastAsia="Courier New" w:hAnsi="Courier New"/>
          <w:sz w:val="18"/>
          <w:szCs w:val="18"/>
          <w:color w:val="auto"/>
        </w:rPr>
      </w:pPr>
      <w:r>
        <w:rPr>
          <w:rFonts w:ascii="Arial" w:cs="Arial" w:eastAsia="Arial" w:hAnsi="Arial"/>
          <w:sz w:val="18"/>
          <w:szCs w:val="18"/>
          <w:color w:val="auto"/>
        </w:rPr>
        <w:t>The proportion of subjects who received any rescue therapy (blood/RBC transfusion, ESA use, or IV iron) in the first 52 weeks of treatment was 8.9% in the roxadustat arm vs. 28.9% in the placebo arm (HR (95% CI) = 0.19 (0.138, 0.276), p&lt;0.0001). The proportion of subjects who received blood/RBC transfusion in the first 52 weeks of treatment was 5.6% in the roxadustat arm vs. 15.4% in the placebo arm (HR (95% CI) = 0.26 (0.165, 0.406), p&lt;0.0001).</w:t>
      </w:r>
    </w:p>
    <w:p>
      <w:pPr>
        <w:spacing w:after="0" w:line="186" w:lineRule="exact"/>
        <w:rPr>
          <w:rFonts w:ascii="Courier New" w:cs="Courier New" w:eastAsia="Courier New" w:hAnsi="Courier New"/>
          <w:sz w:val="18"/>
          <w:szCs w:val="18"/>
          <w:color w:val="auto"/>
        </w:rPr>
      </w:pPr>
    </w:p>
    <w:p>
      <w:pPr>
        <w:ind w:left="380" w:right="500"/>
        <w:spacing w:after="0" w:line="277" w:lineRule="auto"/>
        <w:rPr>
          <w:rFonts w:ascii="Courier New" w:cs="Courier New" w:eastAsia="Courier New" w:hAnsi="Courier New"/>
          <w:sz w:val="18"/>
          <w:szCs w:val="18"/>
          <w:color w:val="auto"/>
        </w:rPr>
      </w:pPr>
      <w:r>
        <w:rPr>
          <w:rFonts w:ascii="Arial" w:cs="Arial" w:eastAsia="Arial" w:hAnsi="Arial"/>
          <w:sz w:val="18"/>
          <w:szCs w:val="18"/>
          <w:color w:val="auto"/>
        </w:rPr>
        <w:t>The mean change in LDL cholesterol from baseline to average over weeks 12-28 was -18.48 mg/dL (n=564) in the roxadustat arm vs. 0.22 mg/dL (n=269) in the placebo arm, with a treatment difference of -17.26 mg/dL (p&lt;0.0001).</w:t>
      </w:r>
    </w:p>
    <w:p>
      <w:pPr>
        <w:spacing w:after="0" w:line="170" w:lineRule="exact"/>
        <w:rPr>
          <w:rFonts w:ascii="Courier New" w:cs="Courier New" w:eastAsia="Courier New" w:hAnsi="Courier New"/>
          <w:sz w:val="18"/>
          <w:szCs w:val="18"/>
          <w:color w:val="auto"/>
        </w:rPr>
      </w:pPr>
    </w:p>
    <w:p>
      <w:pPr>
        <w:ind w:left="380" w:right="60"/>
        <w:spacing w:after="0" w:line="264" w:lineRule="auto"/>
        <w:rPr>
          <w:rFonts w:ascii="Courier New" w:cs="Courier New" w:eastAsia="Courier New" w:hAnsi="Courier New"/>
          <w:sz w:val="18"/>
          <w:szCs w:val="18"/>
          <w:color w:val="auto"/>
        </w:rPr>
      </w:pPr>
      <w:r>
        <w:rPr>
          <w:rFonts w:ascii="Arial" w:cs="Arial" w:eastAsia="Arial" w:hAnsi="Arial"/>
          <w:sz w:val="18"/>
          <w:szCs w:val="18"/>
          <w:color w:val="auto"/>
        </w:rPr>
        <w:t>In this study, roxadustat-treated patients had a sustained reduction in hepcidin whereas placebo patients did not have a reduction in hepcidin. The mean change from baseline to week 44 was -22.1μg/L in the roxadustat arm vs. 3.88 μg/L in the placebo arm, for a treatment difference between the two arms of -25.71 μg/L (95% CI: -38.523, -12.903).</w:t>
      </w:r>
    </w:p>
    <w:p>
      <w:pPr>
        <w:spacing w:after="0" w:line="181" w:lineRule="exact"/>
        <w:rPr>
          <w:rFonts w:ascii="Courier New" w:cs="Courier New" w:eastAsia="Courier New" w:hAnsi="Courier New"/>
          <w:sz w:val="18"/>
          <w:szCs w:val="18"/>
          <w:color w:val="auto"/>
        </w:rPr>
      </w:pPr>
    </w:p>
    <w:p>
      <w:pPr>
        <w:ind w:left="380" w:right="20"/>
        <w:spacing w:after="0" w:line="257" w:lineRule="auto"/>
        <w:rPr>
          <w:rFonts w:ascii="Courier New" w:cs="Courier New" w:eastAsia="Courier New" w:hAnsi="Courier New"/>
          <w:sz w:val="18"/>
          <w:szCs w:val="18"/>
          <w:color w:val="auto"/>
        </w:rPr>
      </w:pPr>
      <w:r>
        <w:rPr>
          <w:rFonts w:ascii="Arial" w:cs="Arial" w:eastAsia="Arial" w:hAnsi="Arial"/>
          <w:sz w:val="18"/>
          <w:szCs w:val="18"/>
          <w:color w:val="auto"/>
        </w:rPr>
        <w:t>In this study, subjects in the roxadustat arm had a substantially higher overall study drug exposure compared to subjects in the placebo arm. Study drug discontinuation was higher in the placebo arm compared to roxadustat arm, and the relative difference in discontinuation rates was especially pronounced in the lowest baseline eGFR category. The overall exposure-adjusted safety profile of roxadustat observed during this study was comparable with placebo and consistent with that expected in the CKD study population. The most frequently observed adverse events with roxadustat in this trial were nausea, hyperkalemia, constipation, and hypertension.</w:t>
      </w:r>
    </w:p>
    <w:p>
      <w:pPr>
        <w:spacing w:after="0" w:line="188" w:lineRule="exact"/>
        <w:rPr>
          <w:rFonts w:ascii="Courier New" w:cs="Courier New" w:eastAsia="Courier New" w:hAnsi="Courier New"/>
          <w:sz w:val="18"/>
          <w:szCs w:val="18"/>
          <w:color w:val="auto"/>
        </w:rPr>
      </w:pPr>
    </w:p>
    <w:p>
      <w:pPr>
        <w:ind w:left="380" w:hanging="372"/>
        <w:spacing w:after="0"/>
        <w:tabs>
          <w:tab w:leader="none" w:pos="380" w:val="left"/>
        </w:tabs>
        <w:numPr>
          <w:ilvl w:val="0"/>
          <w:numId w:val="20"/>
        </w:numPr>
        <w:rPr>
          <w:rFonts w:ascii="Courier New" w:cs="Courier New" w:eastAsia="Courier New" w:hAnsi="Courier New"/>
          <w:sz w:val="18"/>
          <w:szCs w:val="18"/>
          <w:color w:val="auto"/>
        </w:rPr>
      </w:pPr>
      <w:r>
        <w:rPr>
          <w:rFonts w:ascii="Arial" w:cs="Arial" w:eastAsia="Arial" w:hAnsi="Arial"/>
          <w:sz w:val="18"/>
          <w:szCs w:val="18"/>
          <w:i w:val="1"/>
          <w:iCs w:val="1"/>
          <w:color w:val="auto"/>
        </w:rPr>
        <w:t>Incident Dialysis CKD Patients Study (HIMALAYAS) – FibroGen</w:t>
      </w:r>
    </w:p>
    <w:p>
      <w:pPr>
        <w:spacing w:after="0" w:line="101" w:lineRule="exact"/>
        <w:rPr>
          <w:rFonts w:ascii="Courier New" w:cs="Courier New" w:eastAsia="Courier New" w:hAnsi="Courier New"/>
          <w:sz w:val="18"/>
          <w:szCs w:val="18"/>
          <w:color w:val="auto"/>
        </w:rPr>
      </w:pPr>
    </w:p>
    <w:p>
      <w:pPr>
        <w:ind w:left="380" w:right="40"/>
        <w:spacing w:after="0" w:line="264" w:lineRule="auto"/>
        <w:rPr>
          <w:rFonts w:ascii="Courier New" w:cs="Courier New" w:eastAsia="Courier New" w:hAnsi="Courier New"/>
          <w:sz w:val="18"/>
          <w:szCs w:val="18"/>
          <w:color w:val="auto"/>
        </w:rPr>
      </w:pPr>
      <w:r>
        <w:rPr>
          <w:rFonts w:ascii="Arial" w:cs="Arial" w:eastAsia="Arial" w:hAnsi="Arial"/>
          <w:sz w:val="18"/>
          <w:szCs w:val="18"/>
          <w:color w:val="auto"/>
        </w:rPr>
        <w:t>HIMALAYAS is a 1,043-patient Phase 3 randomized, open-label, active-controlled trial to assess the efficacy and safety of roxadustat compared to epoetin alfa, an ESA, for the treatment of anemia in CKD patients who have newly initiated dialysis treatment for end-stage renal disease (“ESRD”) and have had minimal or no exposure to an ESA prior to study participation.</w:t>
      </w:r>
    </w:p>
    <w:p>
      <w:pPr>
        <w:spacing w:after="0" w:line="181" w:lineRule="exact"/>
        <w:rPr>
          <w:rFonts w:ascii="Courier New" w:cs="Courier New" w:eastAsia="Courier New" w:hAnsi="Courier New"/>
          <w:sz w:val="18"/>
          <w:szCs w:val="18"/>
          <w:color w:val="auto"/>
        </w:rPr>
      </w:pPr>
    </w:p>
    <w:p>
      <w:pPr>
        <w:ind w:left="380" w:right="20"/>
        <w:spacing w:after="0" w:line="302" w:lineRule="auto"/>
        <w:rPr>
          <w:rFonts w:ascii="Courier New" w:cs="Courier New" w:eastAsia="Courier New" w:hAnsi="Courier New"/>
          <w:sz w:val="18"/>
          <w:szCs w:val="18"/>
          <w:color w:val="auto"/>
        </w:rPr>
      </w:pPr>
      <w:r>
        <w:rPr>
          <w:rFonts w:ascii="Arial" w:cs="Arial" w:eastAsia="Arial" w:hAnsi="Arial"/>
          <w:sz w:val="16"/>
          <w:szCs w:val="16"/>
          <w:color w:val="auto"/>
        </w:rPr>
        <w:t>U.S. primary efficacy endpoint: the mean hemoglobin change from baseline to the average over weeks 28 to 52 was 2.57 g/dL (roxadustat) vs. 2.36 g/dL (epoetin alfa), a least squares mean difference of 0.18 g/dL, with the 95% CI of (0.08, 0.29). The non-inferiority criteria was met as the lower bound of the 95% CI was well above the non-inferiority margin of -0.75 g/dL, and superiority over epoetin alfa was also achieved, p=0.0005. In subgroup analyses, roxadustat was also superior to epoetin alfa in hemoglobin change from baseline regardless of iron repletion and inflammation status.</w:t>
      </w:r>
    </w:p>
    <w:p>
      <w:pPr>
        <w:spacing w:after="0" w:line="154" w:lineRule="exact"/>
        <w:rPr>
          <w:rFonts w:ascii="Courier New" w:cs="Courier New" w:eastAsia="Courier New" w:hAnsi="Courier New"/>
          <w:sz w:val="18"/>
          <w:szCs w:val="18"/>
          <w:color w:val="auto"/>
        </w:rPr>
      </w:pPr>
    </w:p>
    <w:p>
      <w:pPr>
        <w:ind w:left="380" w:right="60"/>
        <w:spacing w:after="0" w:line="257" w:lineRule="auto"/>
        <w:rPr>
          <w:rFonts w:ascii="Courier New" w:cs="Courier New" w:eastAsia="Courier New" w:hAnsi="Courier New"/>
          <w:sz w:val="18"/>
          <w:szCs w:val="18"/>
          <w:color w:val="auto"/>
        </w:rPr>
      </w:pPr>
      <w:r>
        <w:rPr>
          <w:rFonts w:ascii="Arial" w:cs="Arial" w:eastAsia="Arial" w:hAnsi="Arial"/>
          <w:sz w:val="18"/>
          <w:szCs w:val="18"/>
          <w:color w:val="auto"/>
        </w:rPr>
        <w:t>EU primary efficacy endpoint: a higher proportion of roxadustat-treated patients (88.2%) achieved a hemoglobin response (defined as achieving a hemoglobin level of at least 11 g/dL on two consecutive visits during the first 24-weeks of treatment and a hemoglobin increase of at least 1.0 g/dL in subjects with baseline Hb &gt;8.0 g/dL, or an increase of at least 2.0 g/dL in subjects with baseline Hb ≤8.0 g/dL), as compared to an 84.4% responder rate in the epoetin alfa arm, with the lower bound of the 95% CI (-0.7%, 7.7%) of the treatment difference in responder rate well above the non-inferiority margin of -15%.</w:t>
      </w:r>
    </w:p>
    <w:p>
      <w:pPr>
        <w:spacing w:after="0" w:line="188" w:lineRule="exact"/>
        <w:rPr>
          <w:sz w:val="20"/>
          <w:szCs w:val="20"/>
          <w:color w:val="auto"/>
        </w:rPr>
      </w:pPr>
    </w:p>
    <w:p>
      <w:pPr>
        <w:ind w:left="380" w:right="700"/>
        <w:spacing w:after="0" w:line="277" w:lineRule="auto"/>
        <w:rPr>
          <w:sz w:val="20"/>
          <w:szCs w:val="20"/>
          <w:color w:val="auto"/>
        </w:rPr>
      </w:pPr>
      <w:r>
        <w:rPr>
          <w:rFonts w:ascii="Arial" w:cs="Arial" w:eastAsia="Arial" w:hAnsi="Arial"/>
          <w:sz w:val="18"/>
          <w:szCs w:val="18"/>
          <w:color w:val="auto"/>
        </w:rPr>
        <w:t>The most frequently observed adverse events with roxadustat in this trial were hypertension, diarrhea, and muscle spasms. The safety profile of roxadustat in this study was consistent with results from prior roxadustat studies.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380" w:hanging="372"/>
        <w:spacing w:after="0"/>
        <w:tabs>
          <w:tab w:leader="none" w:pos="380" w:val="left"/>
        </w:tabs>
        <w:numPr>
          <w:ilvl w:val="0"/>
          <w:numId w:val="21"/>
        </w:numPr>
        <w:rPr>
          <w:rFonts w:ascii="Courier New" w:cs="Courier New" w:eastAsia="Courier New" w:hAnsi="Courier New"/>
          <w:sz w:val="18"/>
          <w:szCs w:val="18"/>
          <w:color w:val="auto"/>
        </w:rPr>
      </w:pPr>
      <w:r>
        <w:rPr>
          <w:rFonts w:ascii="Arial" w:cs="Arial" w:eastAsia="Arial" w:hAnsi="Arial"/>
          <w:sz w:val="18"/>
          <w:szCs w:val="18"/>
          <w:i w:val="1"/>
          <w:iCs w:val="1"/>
          <w:color w:val="auto"/>
        </w:rPr>
        <w:t>Stable Dialysis CKD Patients Study (SIERRAS) – FibroGen</w:t>
      </w:r>
    </w:p>
    <w:p>
      <w:pPr>
        <w:spacing w:after="0" w:line="101" w:lineRule="exact"/>
        <w:rPr>
          <w:rFonts w:ascii="Courier New" w:cs="Courier New" w:eastAsia="Courier New" w:hAnsi="Courier New"/>
          <w:sz w:val="18"/>
          <w:szCs w:val="18"/>
          <w:color w:val="auto"/>
        </w:rPr>
      </w:pPr>
    </w:p>
    <w:p>
      <w:pPr>
        <w:ind w:left="380" w:right="440"/>
        <w:spacing w:after="0" w:line="342" w:lineRule="auto"/>
        <w:rPr>
          <w:rFonts w:ascii="Courier New" w:cs="Courier New" w:eastAsia="Courier New" w:hAnsi="Courier New"/>
          <w:sz w:val="18"/>
          <w:szCs w:val="18"/>
          <w:color w:val="auto"/>
        </w:rPr>
      </w:pPr>
      <w:r>
        <w:rPr>
          <w:rFonts w:ascii="Arial" w:cs="Arial" w:eastAsia="Arial" w:hAnsi="Arial"/>
          <w:sz w:val="16"/>
          <w:szCs w:val="16"/>
          <w:color w:val="auto"/>
        </w:rPr>
        <w:t>SIERRAS is a 741-patient U.S. Phase 3, randomized, open-label, active-controlled trial to assess the efficacy and safety of roxadustat compared to epoetin alfa for the treatment of anemia in dialysis CKD patients who were receiving stable doses of ESA prior to study participation.</w:t>
      </w:r>
    </w:p>
    <w:p>
      <w:pPr>
        <w:spacing w:after="0" w:line="123" w:lineRule="exact"/>
        <w:rPr>
          <w:rFonts w:ascii="Courier New" w:cs="Courier New" w:eastAsia="Courier New" w:hAnsi="Courier New"/>
          <w:sz w:val="18"/>
          <w:szCs w:val="18"/>
          <w:color w:val="auto"/>
        </w:rPr>
      </w:pPr>
    </w:p>
    <w:p>
      <w:pPr>
        <w:ind w:left="380" w:right="100"/>
        <w:spacing w:after="0" w:line="221" w:lineRule="exact"/>
        <w:rPr>
          <w:rFonts w:ascii="Courier New" w:cs="Courier New" w:eastAsia="Courier New" w:hAnsi="Courier New"/>
          <w:sz w:val="18"/>
          <w:szCs w:val="18"/>
          <w:color w:val="auto"/>
        </w:rPr>
      </w:pPr>
      <w:r>
        <w:rPr>
          <w:rFonts w:ascii="Arial" w:cs="Arial" w:eastAsia="Arial" w:hAnsi="Arial"/>
          <w:sz w:val="17"/>
          <w:szCs w:val="17"/>
          <w:color w:val="auto"/>
        </w:rPr>
        <w:t xml:space="preserve">U.S. primary efficacy endpoint: the mean hemoglobin change from baseline to the average over weeks 28 to 52 was 0.39 g/dL (roxadustat) vs. -0.09 g/dL (epoetin alfa), a least squares mean treatment difference of 0.48 g/dL (95% CI 0.37, 0.59). Roxadustat met the non-inferiority criteria as the lower bound of 95% CI was well above the non-inferiority margin of </w:t>
      </w:r>
      <w:r>
        <w:rPr>
          <w:rFonts w:ascii="MS PGothic" w:cs="MS PGothic" w:eastAsia="MS PGothic" w:hAnsi="MS PGothic"/>
          <w:sz w:val="17"/>
          <w:szCs w:val="17"/>
          <w:color w:val="auto"/>
        </w:rPr>
        <w:t>‑</w:t>
      </w:r>
      <w:r>
        <w:rPr>
          <w:rFonts w:ascii="Arial" w:cs="Arial" w:eastAsia="Arial" w:hAnsi="Arial"/>
          <w:sz w:val="17"/>
          <w:szCs w:val="17"/>
          <w:color w:val="auto"/>
        </w:rPr>
        <w:t>0.75 g/dL. Roxadustat also achieved superiority, p&lt;0.0001.</w:t>
      </w:r>
    </w:p>
    <w:p>
      <w:pPr>
        <w:spacing w:after="0" w:line="202" w:lineRule="exact"/>
        <w:rPr>
          <w:rFonts w:ascii="Courier New" w:cs="Courier New" w:eastAsia="Courier New" w:hAnsi="Courier New"/>
          <w:sz w:val="18"/>
          <w:szCs w:val="18"/>
          <w:color w:val="auto"/>
        </w:rPr>
      </w:pPr>
    </w:p>
    <w:p>
      <w:pPr>
        <w:jc w:val="both"/>
        <w:ind w:left="380"/>
        <w:spacing w:after="0" w:line="312" w:lineRule="auto"/>
        <w:rPr>
          <w:rFonts w:ascii="Courier New" w:cs="Courier New" w:eastAsia="Courier New" w:hAnsi="Courier New"/>
          <w:sz w:val="18"/>
          <w:szCs w:val="18"/>
          <w:color w:val="auto"/>
        </w:rPr>
      </w:pPr>
      <w:r>
        <w:rPr>
          <w:rFonts w:ascii="Arial" w:cs="Arial" w:eastAsia="Arial" w:hAnsi="Arial"/>
          <w:sz w:val="16"/>
          <w:szCs w:val="16"/>
          <w:color w:val="auto"/>
        </w:rPr>
        <w:t>EU primary efficacy endpoint: the mean hemoglobin change from baseline to the average over weeks 28 to 36 was 0.54 g/dL (roxadustat) vs. -0.03 g/dL (epoetin alfa), a least squares mean treatment difference of 0.54 g/dL with a 95% CI (0.40, 0.69). Roxadustat met the non-inferiority criteria as the lower bound of the 95% CI was well above the non-inferiority margin of -0.75 g/dL. Roxadustat also achieved superiority over epoetin alfa, p&lt;0.0001.</w:t>
      </w:r>
    </w:p>
    <w:p>
      <w:pPr>
        <w:spacing w:after="0" w:line="146" w:lineRule="exact"/>
        <w:rPr>
          <w:rFonts w:ascii="Courier New" w:cs="Courier New" w:eastAsia="Courier New" w:hAnsi="Courier New"/>
          <w:sz w:val="18"/>
          <w:szCs w:val="18"/>
          <w:color w:val="auto"/>
        </w:rPr>
      </w:pPr>
    </w:p>
    <w:p>
      <w:pPr>
        <w:ind w:left="380" w:right="40"/>
        <w:spacing w:after="0" w:line="279" w:lineRule="auto"/>
        <w:rPr>
          <w:rFonts w:ascii="Courier New" w:cs="Courier New" w:eastAsia="Courier New" w:hAnsi="Courier New"/>
          <w:sz w:val="18"/>
          <w:szCs w:val="18"/>
          <w:color w:val="auto"/>
        </w:rPr>
      </w:pPr>
      <w:r>
        <w:rPr>
          <w:rFonts w:ascii="Arial" w:cs="Arial" w:eastAsia="Arial" w:hAnsi="Arial"/>
          <w:sz w:val="17"/>
          <w:szCs w:val="17"/>
          <w:color w:val="auto"/>
        </w:rPr>
        <w:t>In patients with inflammation (CRP&gt;4.9 mg/L), roxadustat doses for maintaining hemoglobin levels were comparable to those with normal CRP and were stable over time as the effect on hemoglobin was durable, whereas epoetin alfa patients required higher mean doses in inflamed patients (CRP&gt;4.9 mg/L), doses which increased by approximately 50% from baseline after about one year. In these inflamed patients (CRP&gt;4.9 mg/L) mean change in hemoglobin from baseline to week 18-24 was 0.61 g/dL in roxadustat vs. -0.03 g/dL in the epoetin alfa group, p&lt;0.0001.</w:t>
      </w:r>
    </w:p>
    <w:p>
      <w:pPr>
        <w:spacing w:after="0" w:line="171" w:lineRule="exact"/>
        <w:rPr>
          <w:rFonts w:ascii="Courier New" w:cs="Courier New" w:eastAsia="Courier New" w:hAnsi="Courier New"/>
          <w:sz w:val="18"/>
          <w:szCs w:val="18"/>
          <w:color w:val="auto"/>
        </w:rPr>
      </w:pPr>
    </w:p>
    <w:p>
      <w:pPr>
        <w:ind w:left="380" w:right="220"/>
        <w:spacing w:after="0" w:line="279" w:lineRule="auto"/>
        <w:rPr>
          <w:rFonts w:ascii="Courier New" w:cs="Courier New" w:eastAsia="Courier New" w:hAnsi="Courier New"/>
          <w:sz w:val="18"/>
          <w:szCs w:val="18"/>
          <w:color w:val="auto"/>
        </w:rPr>
      </w:pPr>
      <w:r>
        <w:rPr>
          <w:rFonts w:ascii="Arial" w:cs="Arial" w:eastAsia="Arial" w:hAnsi="Arial"/>
          <w:sz w:val="17"/>
          <w:szCs w:val="17"/>
          <w:color w:val="auto"/>
        </w:rPr>
        <w:t>Subjects in the roxadustat group received lower mean IV iron during weeks 28 to 52 than subjects in the epoetin alfa group (p=0.00091). Roxadustat-treated patients had a greater reduction in hepcidin as compared to ESA-treated patients. Additionally, a lower proportion of subjects on roxadustat received a red blood cell transfusion during treatment than the epoetin alfa group (12.5% and 21.1%, respectively, p=0.0337), with reduction in RBC transfusion risk by 33% compared with epoetin alfa; HR (95% CI) = 0.67 (0.466, 0.970), p=0.0337.</w:t>
      </w:r>
    </w:p>
    <w:p>
      <w:pPr>
        <w:spacing w:after="0" w:line="171" w:lineRule="exact"/>
        <w:rPr>
          <w:rFonts w:ascii="Courier New" w:cs="Courier New" w:eastAsia="Courier New" w:hAnsi="Courier New"/>
          <w:sz w:val="18"/>
          <w:szCs w:val="18"/>
          <w:color w:val="auto"/>
        </w:rPr>
      </w:pPr>
    </w:p>
    <w:p>
      <w:pPr>
        <w:ind w:left="380" w:right="240"/>
        <w:spacing w:after="0" w:line="277" w:lineRule="auto"/>
        <w:rPr>
          <w:rFonts w:ascii="Courier New" w:cs="Courier New" w:eastAsia="Courier New" w:hAnsi="Courier New"/>
          <w:sz w:val="18"/>
          <w:szCs w:val="18"/>
          <w:color w:val="auto"/>
        </w:rPr>
      </w:pPr>
      <w:r>
        <w:rPr>
          <w:rFonts w:ascii="Arial" w:cs="Arial" w:eastAsia="Arial" w:hAnsi="Arial"/>
          <w:sz w:val="18"/>
          <w:szCs w:val="18"/>
          <w:color w:val="auto"/>
        </w:rPr>
        <w:t>Mean LDL cholesterol levels decreased in the roxadustat group from baseline to the average over weeks 12 to 28 (-13.70 mg/dL) but increased in the epoetin alfa group (1.23 mg/dL) with a treatment difference of -14.67 mg/dL (p&lt;0.0001).</w:t>
      </w:r>
    </w:p>
    <w:p>
      <w:pPr>
        <w:spacing w:after="0" w:line="170" w:lineRule="exact"/>
        <w:rPr>
          <w:rFonts w:ascii="Courier New" w:cs="Courier New" w:eastAsia="Courier New" w:hAnsi="Courier New"/>
          <w:sz w:val="18"/>
          <w:szCs w:val="18"/>
          <w:color w:val="auto"/>
        </w:rPr>
      </w:pPr>
    </w:p>
    <w:p>
      <w:pPr>
        <w:ind w:left="380" w:right="40"/>
        <w:spacing w:after="0" w:line="264" w:lineRule="auto"/>
        <w:rPr>
          <w:rFonts w:ascii="Courier New" w:cs="Courier New" w:eastAsia="Courier New" w:hAnsi="Courier New"/>
          <w:sz w:val="18"/>
          <w:szCs w:val="18"/>
          <w:color w:val="auto"/>
        </w:rPr>
      </w:pPr>
      <w:r>
        <w:rPr>
          <w:rFonts w:ascii="Arial" w:cs="Arial" w:eastAsia="Arial" w:hAnsi="Arial"/>
          <w:sz w:val="18"/>
          <w:szCs w:val="18"/>
          <w:color w:val="auto"/>
        </w:rPr>
        <w:t>The incidence of treatment emergent adverse events was comparable in the roxadustat and epoetin alfa arms and were generally consistent with those typically expected in study patient population of ESRD on chronic dialysis therapy. The most frequently observed adverse events with roxadustat in this trial were nausea, hypertension, vomiting, and hyperkalemia.</w:t>
      </w:r>
    </w:p>
    <w:p>
      <w:pPr>
        <w:spacing w:after="0" w:line="181" w:lineRule="exact"/>
        <w:rPr>
          <w:rFonts w:ascii="Courier New" w:cs="Courier New" w:eastAsia="Courier New" w:hAnsi="Courier New"/>
          <w:sz w:val="18"/>
          <w:szCs w:val="18"/>
          <w:color w:val="auto"/>
        </w:rPr>
      </w:pPr>
    </w:p>
    <w:p>
      <w:pPr>
        <w:ind w:left="380" w:hanging="372"/>
        <w:spacing w:after="0"/>
        <w:tabs>
          <w:tab w:leader="none" w:pos="380" w:val="left"/>
        </w:tabs>
        <w:numPr>
          <w:ilvl w:val="0"/>
          <w:numId w:val="21"/>
        </w:numPr>
        <w:rPr>
          <w:rFonts w:ascii="Courier New" w:cs="Courier New" w:eastAsia="Courier New" w:hAnsi="Courier New"/>
          <w:sz w:val="18"/>
          <w:szCs w:val="18"/>
          <w:color w:val="auto"/>
        </w:rPr>
      </w:pPr>
      <w:r>
        <w:rPr>
          <w:rFonts w:ascii="Arial" w:cs="Arial" w:eastAsia="Arial" w:hAnsi="Arial"/>
          <w:sz w:val="18"/>
          <w:szCs w:val="18"/>
          <w:i w:val="1"/>
          <w:iCs w:val="1"/>
          <w:color w:val="auto"/>
        </w:rPr>
        <w:t>Non-Dialysis CKD Patients (OLYMPUS) – AstraZeneca</w:t>
      </w:r>
    </w:p>
    <w:p>
      <w:pPr>
        <w:spacing w:after="0" w:line="101" w:lineRule="exact"/>
        <w:rPr>
          <w:rFonts w:ascii="Courier New" w:cs="Courier New" w:eastAsia="Courier New" w:hAnsi="Courier New"/>
          <w:sz w:val="18"/>
          <w:szCs w:val="18"/>
          <w:color w:val="auto"/>
        </w:rPr>
      </w:pPr>
    </w:p>
    <w:p>
      <w:pPr>
        <w:ind w:left="380"/>
        <w:spacing w:after="0" w:line="302" w:lineRule="auto"/>
        <w:rPr>
          <w:rFonts w:ascii="Courier New" w:cs="Courier New" w:eastAsia="Courier New" w:hAnsi="Courier New"/>
          <w:sz w:val="18"/>
          <w:szCs w:val="18"/>
          <w:color w:val="auto"/>
        </w:rPr>
      </w:pPr>
      <w:r>
        <w:rPr>
          <w:rFonts w:ascii="Arial" w:cs="Arial" w:eastAsia="Arial" w:hAnsi="Arial"/>
          <w:sz w:val="16"/>
          <w:szCs w:val="16"/>
          <w:color w:val="auto"/>
        </w:rPr>
        <w:t>OLYMPUS is AstraZeneca’s Phase 3, randomized, double-blinded, placebo-controlled trial designed to evaluate the efficacy and safety of roxadustat vs. placebo for the treatment of patients with anemia in CKD stages 3, 4 or 5 whose disease progression is moderate to severe and who are non-dialysis dependent. The trial in 2,781 patients met its primary efficacy endpoint by demonstrating a statistically-significant improvement in mean change from baseline in hemoglobin levels averaged over weeks 28 to 52 (1.75 g/dL) as compared with Placebo (0.40 g/dL).</w:t>
      </w:r>
    </w:p>
    <w:p>
      <w:pPr>
        <w:spacing w:after="0" w:line="154" w:lineRule="exact"/>
        <w:rPr>
          <w:rFonts w:ascii="Courier New" w:cs="Courier New" w:eastAsia="Courier New" w:hAnsi="Courier New"/>
          <w:sz w:val="18"/>
          <w:szCs w:val="18"/>
          <w:color w:val="auto"/>
        </w:rPr>
      </w:pPr>
    </w:p>
    <w:p>
      <w:pPr>
        <w:ind w:left="380" w:right="180"/>
        <w:spacing w:after="0" w:line="277" w:lineRule="auto"/>
        <w:rPr>
          <w:rFonts w:ascii="Courier New" w:cs="Courier New" w:eastAsia="Courier New" w:hAnsi="Courier New"/>
          <w:sz w:val="18"/>
          <w:szCs w:val="18"/>
          <w:color w:val="auto"/>
        </w:rPr>
      </w:pPr>
      <w:r>
        <w:rPr>
          <w:rFonts w:ascii="Arial" w:cs="Arial" w:eastAsia="Arial" w:hAnsi="Arial"/>
          <w:sz w:val="18"/>
          <w:szCs w:val="18"/>
          <w:color w:val="auto"/>
        </w:rPr>
        <w:t>Roxadustat also improved hemoglobin levels from baseline in a subgroup of patients with inflammation (CRP&gt;5 mg/L), with a statistically significant mean increase of 1.73 g/dL, compared to 0.62g/dL with placebo.</w:t>
      </w:r>
    </w:p>
    <w:p>
      <w:pPr>
        <w:spacing w:after="0" w:line="170" w:lineRule="exact"/>
        <w:rPr>
          <w:sz w:val="20"/>
          <w:szCs w:val="20"/>
          <w:color w:val="auto"/>
        </w:rPr>
      </w:pPr>
    </w:p>
    <w:p>
      <w:pPr>
        <w:ind w:left="380" w:right="100"/>
        <w:spacing w:after="0" w:line="277" w:lineRule="auto"/>
        <w:rPr>
          <w:sz w:val="20"/>
          <w:szCs w:val="20"/>
          <w:color w:val="auto"/>
        </w:rPr>
      </w:pPr>
      <w:r>
        <w:rPr>
          <w:rFonts w:ascii="Arial" w:cs="Arial" w:eastAsia="Arial" w:hAnsi="Arial"/>
          <w:sz w:val="18"/>
          <w:szCs w:val="18"/>
          <w:color w:val="auto"/>
        </w:rPr>
        <w:t>Overall safety findings are generally consistent with the non-dialysis patient population. For all patients, the most frequently reported adverse events in the intent to treat analysis set were end-stage renal disease, pneumonia, urinary tract infection and hypertension.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380" w:hanging="372"/>
        <w:spacing w:after="0"/>
        <w:tabs>
          <w:tab w:leader="none" w:pos="380" w:val="left"/>
        </w:tabs>
        <w:numPr>
          <w:ilvl w:val="0"/>
          <w:numId w:val="22"/>
        </w:numPr>
        <w:rPr>
          <w:rFonts w:ascii="Courier New" w:cs="Courier New" w:eastAsia="Courier New" w:hAnsi="Courier New"/>
          <w:sz w:val="18"/>
          <w:szCs w:val="18"/>
          <w:color w:val="auto"/>
        </w:rPr>
      </w:pPr>
      <w:r>
        <w:rPr>
          <w:rFonts w:ascii="Arial" w:cs="Arial" w:eastAsia="Arial" w:hAnsi="Arial"/>
          <w:sz w:val="18"/>
          <w:szCs w:val="18"/>
          <w:i w:val="1"/>
          <w:iCs w:val="1"/>
          <w:color w:val="auto"/>
        </w:rPr>
        <w:t>Non-Dialysis CKD Patients (ALPS) – Astellas</w:t>
      </w:r>
    </w:p>
    <w:p>
      <w:pPr>
        <w:spacing w:after="0" w:line="101" w:lineRule="exact"/>
        <w:rPr>
          <w:rFonts w:ascii="Courier New" w:cs="Courier New" w:eastAsia="Courier New" w:hAnsi="Courier New"/>
          <w:sz w:val="18"/>
          <w:szCs w:val="18"/>
          <w:color w:val="auto"/>
        </w:rPr>
      </w:pPr>
    </w:p>
    <w:p>
      <w:pPr>
        <w:ind w:left="380" w:right="200"/>
        <w:spacing w:after="0" w:line="264" w:lineRule="auto"/>
        <w:rPr>
          <w:rFonts w:ascii="Courier New" w:cs="Courier New" w:eastAsia="Courier New" w:hAnsi="Courier New"/>
          <w:sz w:val="18"/>
          <w:szCs w:val="18"/>
          <w:color w:val="auto"/>
        </w:rPr>
      </w:pPr>
      <w:r>
        <w:rPr>
          <w:rFonts w:ascii="Arial" w:cs="Arial" w:eastAsia="Arial" w:hAnsi="Arial"/>
          <w:sz w:val="18"/>
          <w:szCs w:val="18"/>
          <w:color w:val="auto"/>
        </w:rPr>
        <w:t>ALPS is Astellas’ Phase 3, randomized, double-blind, placebo-controlled study of the efficacy and safety of roxadustat for the treatment of anemia in CKD in 597 patients not on dialysis. The trial met its primary endpoints by demonstrating superiority in efficacy vs. placebo in terms of hemoglobin change from baseline at weeks 28 to 52 (1.988 for roxadustat vs 0.406 for placebo, p&lt;0.001).</w:t>
      </w:r>
    </w:p>
    <w:p>
      <w:pPr>
        <w:spacing w:after="0" w:line="181" w:lineRule="exact"/>
        <w:rPr>
          <w:rFonts w:ascii="Courier New" w:cs="Courier New" w:eastAsia="Courier New" w:hAnsi="Courier New"/>
          <w:sz w:val="18"/>
          <w:szCs w:val="18"/>
          <w:color w:val="auto"/>
        </w:rPr>
      </w:pPr>
    </w:p>
    <w:p>
      <w:pPr>
        <w:ind w:left="380" w:right="360"/>
        <w:spacing w:after="0" w:line="308" w:lineRule="auto"/>
        <w:rPr>
          <w:rFonts w:ascii="Courier New" w:cs="Courier New" w:eastAsia="Courier New" w:hAnsi="Courier New"/>
          <w:sz w:val="18"/>
          <w:szCs w:val="18"/>
          <w:color w:val="auto"/>
        </w:rPr>
      </w:pPr>
      <w:r>
        <w:rPr>
          <w:rFonts w:ascii="Arial" w:cs="Arial" w:eastAsia="Arial" w:hAnsi="Arial"/>
          <w:sz w:val="17"/>
          <w:szCs w:val="17"/>
          <w:color w:val="auto"/>
        </w:rPr>
        <w:t>Roxadustat was superior to placebo in its ability to lower LDL from baseline with an LS mean difference of -0.701 mmol/L (95% CI: -0.83, -0.57). Roxadustat was superior to placebo in delaying the need for rescue therapy (HR (95%CI) = 0.238 (0.17, 0.33), p&lt;0.001).</w:t>
      </w:r>
    </w:p>
    <w:p>
      <w:pPr>
        <w:spacing w:after="0" w:line="146" w:lineRule="exact"/>
        <w:rPr>
          <w:rFonts w:ascii="Courier New" w:cs="Courier New" w:eastAsia="Courier New" w:hAnsi="Courier New"/>
          <w:sz w:val="18"/>
          <w:szCs w:val="18"/>
          <w:color w:val="auto"/>
        </w:rPr>
      </w:pPr>
    </w:p>
    <w:p>
      <w:pPr>
        <w:ind w:left="380" w:right="100"/>
        <w:spacing w:after="0" w:line="277" w:lineRule="auto"/>
        <w:rPr>
          <w:rFonts w:ascii="Courier New" w:cs="Courier New" w:eastAsia="Courier New" w:hAnsi="Courier New"/>
          <w:sz w:val="18"/>
          <w:szCs w:val="18"/>
          <w:color w:val="auto"/>
        </w:rPr>
      </w:pPr>
      <w:r>
        <w:rPr>
          <w:rFonts w:ascii="Arial" w:cs="Arial" w:eastAsia="Arial" w:hAnsi="Arial"/>
          <w:sz w:val="18"/>
          <w:szCs w:val="18"/>
          <w:color w:val="auto"/>
        </w:rPr>
        <w:t>The safety profile observed in this study was in line with the expected event profile in non-dialysis patients. Common adverse events in both treatment groups were end-stage renal disease, hypertension, peripheral edema, and decreased glomerular filtration rate.</w:t>
      </w:r>
    </w:p>
    <w:p>
      <w:pPr>
        <w:spacing w:after="0" w:line="170" w:lineRule="exact"/>
        <w:rPr>
          <w:rFonts w:ascii="Courier New" w:cs="Courier New" w:eastAsia="Courier New" w:hAnsi="Courier New"/>
          <w:sz w:val="18"/>
          <w:szCs w:val="18"/>
          <w:color w:val="auto"/>
        </w:rPr>
      </w:pPr>
    </w:p>
    <w:p>
      <w:pPr>
        <w:ind w:left="380" w:hanging="372"/>
        <w:spacing w:after="0"/>
        <w:tabs>
          <w:tab w:leader="none" w:pos="380" w:val="left"/>
        </w:tabs>
        <w:numPr>
          <w:ilvl w:val="0"/>
          <w:numId w:val="22"/>
        </w:numPr>
        <w:rPr>
          <w:rFonts w:ascii="Courier New" w:cs="Courier New" w:eastAsia="Courier New" w:hAnsi="Courier New"/>
          <w:sz w:val="18"/>
          <w:szCs w:val="18"/>
          <w:color w:val="auto"/>
        </w:rPr>
      </w:pPr>
      <w:r>
        <w:rPr>
          <w:rFonts w:ascii="Arial" w:cs="Arial" w:eastAsia="Arial" w:hAnsi="Arial"/>
          <w:sz w:val="18"/>
          <w:szCs w:val="18"/>
          <w:i w:val="1"/>
          <w:iCs w:val="1"/>
          <w:color w:val="auto"/>
        </w:rPr>
        <w:t>Stable Dialysis CKD Patients (ROCKIES) – AstraZeneca</w:t>
      </w:r>
    </w:p>
    <w:p>
      <w:pPr>
        <w:spacing w:after="0" w:line="101" w:lineRule="exact"/>
        <w:rPr>
          <w:rFonts w:ascii="Courier New" w:cs="Courier New" w:eastAsia="Courier New" w:hAnsi="Courier New"/>
          <w:sz w:val="18"/>
          <w:szCs w:val="18"/>
          <w:color w:val="auto"/>
        </w:rPr>
      </w:pPr>
    </w:p>
    <w:p>
      <w:pPr>
        <w:ind w:left="380" w:right="80"/>
        <w:spacing w:after="0" w:line="259" w:lineRule="auto"/>
        <w:rPr>
          <w:rFonts w:ascii="Courier New" w:cs="Courier New" w:eastAsia="Courier New" w:hAnsi="Courier New"/>
          <w:sz w:val="18"/>
          <w:szCs w:val="18"/>
          <w:color w:val="auto"/>
        </w:rPr>
      </w:pPr>
      <w:r>
        <w:rPr>
          <w:rFonts w:ascii="Arial" w:cs="Arial" w:eastAsia="Arial" w:hAnsi="Arial"/>
          <w:sz w:val="18"/>
          <w:szCs w:val="18"/>
          <w:color w:val="auto"/>
        </w:rPr>
        <w:t>ROCKIES is AstraZeneca’s Phase 3, randomized, open-label, active-controlled trial designed to assess the efficacy and safety of roxadustat vs. epoetin alfa, for the treatment of anemia in patients with CKD who are dialysis dependent. The trial in 2,133 patients met its primary efficacy endpoint by demonstrating a statistically-significant improvement in mean change from baseline in hemoglobin levels averaged over weeks 28 to 52 (0.77 g/dL) compared with epoetin alfa (0.68 g/dL).</w:t>
      </w:r>
    </w:p>
    <w:p>
      <w:pPr>
        <w:spacing w:after="0" w:line="186" w:lineRule="exact"/>
        <w:rPr>
          <w:rFonts w:ascii="Courier New" w:cs="Courier New" w:eastAsia="Courier New" w:hAnsi="Courier New"/>
          <w:sz w:val="18"/>
          <w:szCs w:val="18"/>
          <w:color w:val="auto"/>
        </w:rPr>
      </w:pPr>
    </w:p>
    <w:p>
      <w:pPr>
        <w:ind w:left="380" w:right="60"/>
        <w:spacing w:after="0" w:line="286" w:lineRule="auto"/>
        <w:rPr>
          <w:rFonts w:ascii="Courier New" w:cs="Courier New" w:eastAsia="Courier New" w:hAnsi="Courier New"/>
          <w:sz w:val="18"/>
          <w:szCs w:val="18"/>
          <w:color w:val="auto"/>
        </w:rPr>
      </w:pPr>
      <w:r>
        <w:rPr>
          <w:rFonts w:ascii="Arial" w:cs="Arial" w:eastAsia="Arial" w:hAnsi="Arial"/>
          <w:sz w:val="17"/>
          <w:szCs w:val="17"/>
          <w:color w:val="auto"/>
        </w:rPr>
        <w:t>Roxadustat also improved hemoglobin levels from baseline in a subgroup of patients with inflammation (CRP&gt;5 mg/L, demonstrating a statistically significant improvement with a mean increase of 0.80 g/dL compared to 0.59 g/dL with epoetin alfa. Patients treated with roxadustat used less monthly IV iron (mean = 59mg) compared to those treated with epoetin alfa (mean = 91mg) from week 36 to the end of the study.</w:t>
      </w:r>
    </w:p>
    <w:p>
      <w:pPr>
        <w:spacing w:after="0" w:line="165" w:lineRule="exact"/>
        <w:rPr>
          <w:rFonts w:ascii="Courier New" w:cs="Courier New" w:eastAsia="Courier New" w:hAnsi="Courier New"/>
          <w:sz w:val="18"/>
          <w:szCs w:val="18"/>
          <w:color w:val="auto"/>
        </w:rPr>
      </w:pPr>
    </w:p>
    <w:p>
      <w:pPr>
        <w:jc w:val="both"/>
        <w:ind w:left="380" w:right="220"/>
        <w:spacing w:after="0" w:line="264" w:lineRule="auto"/>
        <w:rPr>
          <w:rFonts w:ascii="Courier New" w:cs="Courier New" w:eastAsia="Courier New" w:hAnsi="Courier New"/>
          <w:sz w:val="18"/>
          <w:szCs w:val="18"/>
          <w:color w:val="auto"/>
        </w:rPr>
      </w:pPr>
      <w:r>
        <w:rPr>
          <w:rFonts w:ascii="Arial" w:cs="Arial" w:eastAsia="Arial" w:hAnsi="Arial"/>
          <w:sz w:val="18"/>
          <w:szCs w:val="18"/>
          <w:color w:val="auto"/>
        </w:rPr>
        <w:t>Adverse events with roxadustat were generally similar to those seen in patients treated with epoetin alfa and commonly found in dialysis patients. In roxadustat treated patients, the most frequently reported adverse events were diarrhoea, hypertension, pneumonia, headache and arteriovenous fistula thrombosis.</w:t>
      </w:r>
    </w:p>
    <w:p>
      <w:pPr>
        <w:spacing w:after="0" w:line="181" w:lineRule="exact"/>
        <w:rPr>
          <w:rFonts w:ascii="Courier New" w:cs="Courier New" w:eastAsia="Courier New" w:hAnsi="Courier New"/>
          <w:sz w:val="18"/>
          <w:szCs w:val="18"/>
          <w:color w:val="auto"/>
        </w:rPr>
      </w:pPr>
    </w:p>
    <w:p>
      <w:pPr>
        <w:ind w:left="380" w:hanging="372"/>
        <w:spacing w:after="0"/>
        <w:tabs>
          <w:tab w:leader="none" w:pos="380" w:val="left"/>
        </w:tabs>
        <w:numPr>
          <w:ilvl w:val="0"/>
          <w:numId w:val="22"/>
        </w:numPr>
        <w:rPr>
          <w:rFonts w:ascii="Courier New" w:cs="Courier New" w:eastAsia="Courier New" w:hAnsi="Courier New"/>
          <w:sz w:val="18"/>
          <w:szCs w:val="18"/>
          <w:color w:val="auto"/>
        </w:rPr>
      </w:pPr>
      <w:r>
        <w:rPr>
          <w:rFonts w:ascii="Arial" w:cs="Arial" w:eastAsia="Arial" w:hAnsi="Arial"/>
          <w:sz w:val="18"/>
          <w:szCs w:val="18"/>
          <w:i w:val="1"/>
          <w:iCs w:val="1"/>
          <w:color w:val="auto"/>
        </w:rPr>
        <w:t>Stable Dialysis CKD Patients (PYRENEES) – Astellas</w:t>
      </w:r>
    </w:p>
    <w:p>
      <w:pPr>
        <w:spacing w:after="0" w:line="101" w:lineRule="exact"/>
        <w:rPr>
          <w:rFonts w:ascii="Courier New" w:cs="Courier New" w:eastAsia="Courier New" w:hAnsi="Courier New"/>
          <w:sz w:val="18"/>
          <w:szCs w:val="18"/>
          <w:color w:val="auto"/>
        </w:rPr>
      </w:pPr>
    </w:p>
    <w:p>
      <w:pPr>
        <w:ind w:left="380" w:right="360"/>
        <w:spacing w:after="0" w:line="259" w:lineRule="auto"/>
        <w:rPr>
          <w:rFonts w:ascii="Courier New" w:cs="Courier New" w:eastAsia="Courier New" w:hAnsi="Courier New"/>
          <w:sz w:val="18"/>
          <w:szCs w:val="18"/>
          <w:color w:val="auto"/>
        </w:rPr>
      </w:pPr>
      <w:r>
        <w:rPr>
          <w:rFonts w:ascii="Arial" w:cs="Arial" w:eastAsia="Arial" w:hAnsi="Arial"/>
          <w:sz w:val="18"/>
          <w:szCs w:val="18"/>
          <w:color w:val="auto"/>
        </w:rPr>
        <w:t>PYRENEES is Astellas’ Phase 3, randomized, active-controlled trial designed to assess the efficacy and safety of roxadustat vs. epoetin alfa or darbepoetin alfa, for the treatment of anemia in 838 patients with CKD who are dialysis dependent. The trial met its primary efficacy endpoint: roxadustat was considered non-inferior to ESAs based on the mean change from baseline in average hemoglobin levels at weeks 28 to 52 (0.397 vs 0.183; non-inferiority margin = -0.75).</w:t>
      </w:r>
    </w:p>
    <w:p>
      <w:pPr>
        <w:spacing w:after="0" w:line="186" w:lineRule="exact"/>
        <w:rPr>
          <w:rFonts w:ascii="Courier New" w:cs="Courier New" w:eastAsia="Courier New" w:hAnsi="Courier New"/>
          <w:sz w:val="18"/>
          <w:szCs w:val="18"/>
          <w:color w:val="auto"/>
        </w:rPr>
      </w:pPr>
    </w:p>
    <w:p>
      <w:pPr>
        <w:ind w:left="380" w:right="320"/>
        <w:spacing w:after="0" w:line="342" w:lineRule="auto"/>
        <w:rPr>
          <w:rFonts w:ascii="Courier New" w:cs="Courier New" w:eastAsia="Courier New" w:hAnsi="Courier New"/>
          <w:sz w:val="18"/>
          <w:szCs w:val="18"/>
          <w:color w:val="auto"/>
        </w:rPr>
      </w:pPr>
      <w:r>
        <w:rPr>
          <w:rFonts w:ascii="Arial" w:cs="Arial" w:eastAsia="Arial" w:hAnsi="Arial"/>
          <w:sz w:val="16"/>
          <w:szCs w:val="16"/>
          <w:color w:val="auto"/>
        </w:rPr>
        <w:t>Roxadustat was superior to ESAs in its ability to lower LDL from baseline with an LS mean difference of -0.377 mmol/L (95% CI: -0.451, -0.305). Roxadustat was superior to ESAs in reducing the need for monthly IV iron use (LS mean difference (95%CI) = -31.9 mg (-41.4, -22.4), p&lt;0.001).</w:t>
      </w:r>
    </w:p>
    <w:p>
      <w:pPr>
        <w:spacing w:after="0" w:line="123" w:lineRule="exact"/>
        <w:rPr>
          <w:rFonts w:ascii="Courier New" w:cs="Courier New" w:eastAsia="Courier New" w:hAnsi="Courier New"/>
          <w:sz w:val="18"/>
          <w:szCs w:val="18"/>
          <w:color w:val="auto"/>
        </w:rPr>
      </w:pPr>
    </w:p>
    <w:p>
      <w:pPr>
        <w:ind w:left="380"/>
        <w:spacing w:after="0" w:line="259" w:lineRule="auto"/>
        <w:rPr>
          <w:rFonts w:ascii="Courier New" w:cs="Courier New" w:eastAsia="Courier New" w:hAnsi="Courier New"/>
          <w:sz w:val="18"/>
          <w:szCs w:val="18"/>
          <w:color w:val="auto"/>
        </w:rPr>
      </w:pPr>
      <w:r>
        <w:rPr>
          <w:rFonts w:ascii="Arial" w:cs="Arial" w:eastAsia="Arial" w:hAnsi="Arial"/>
          <w:sz w:val="18"/>
          <w:szCs w:val="18"/>
          <w:color w:val="auto"/>
        </w:rPr>
        <w:t>The safety profile observed in this study was in line with the expected event profile in dialysis patients. There was a greater proportion of deaths in the roxadustat treatment group compared with the ESA group; however, the study was not powered to assess risk of MACE events or death, as compared to the pooled analysis above. Common adverse events in both treatment groups were hypertension, arteriovenous fistula thrombosis, headache, and diarrhea.</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Myelodysplastic Syndromes</w:t>
      </w:r>
    </w:p>
    <w:p>
      <w:pPr>
        <w:spacing w:after="0" w:line="117" w:lineRule="exact"/>
        <w:rPr>
          <w:sz w:val="20"/>
          <w:szCs w:val="20"/>
          <w:color w:val="auto"/>
        </w:rPr>
      </w:pPr>
    </w:p>
    <w:p>
      <w:pPr>
        <w:jc w:val="both"/>
        <w:ind w:right="280"/>
        <w:spacing w:after="0" w:line="342" w:lineRule="auto"/>
        <w:rPr>
          <w:sz w:val="20"/>
          <w:szCs w:val="20"/>
          <w:color w:val="auto"/>
        </w:rPr>
      </w:pPr>
      <w:r>
        <w:rPr>
          <w:rFonts w:ascii="Arial" w:cs="Arial" w:eastAsia="Arial" w:hAnsi="Arial"/>
          <w:sz w:val="16"/>
          <w:szCs w:val="16"/>
          <w:color w:val="auto"/>
        </w:rPr>
        <w:t>In addition to anemia in CKD, we are continuing to enroll the 156-patient double-blind, placebo-controlled portion of our global Phase 3 clinical study of roxadustat in transfusion-dependent, lower risk MDS patients. The primary endpoint is the proportion of patients who achieve transfusion independence.</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China, the Phase 2/3 clinical trial to evaluate the safety and efficacy of roxadustat in non-transfusion dependent, lower risk MDS patients with anemia is ongoing. The primary endpoint for this study is percentage of patients achieving a hemoglobin response.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Chemotherapy-Induced Anemia</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began a Phase 2 clinical trial of roxadustat in the U.S. in chemotherapy-induced anemia in the third quarter of 2019. This is a Phase 2 single-arm open label study investigating the efficacy and safety of roxadustat for the treatment of anemia in patients receiving chemotherapy treatment for non-myeloid malignancies in the U.S., with treatment duration of 16 weeks, and will enroll up to 100 patients.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Pamrevlumab (FG-3019) – Monoclonal Antibody Against Connective Tissue Growth Factor (CTGF)</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Pamrevlumab is our human monoclonal antibody that inhibits the activity of CTGF, a central mediator and critical common element in the progression of fibrotic and fibro-proliferative diseases. We initiated our Phase 3 clinical trials of pamrevlumab for the treatment of IPF and for locally advanced unresectable pancreatic cancer. We recently presented topline results from our 1-year data from our ongoing Phase 2 trial for DMD.</w:t>
      </w:r>
    </w:p>
    <w:p>
      <w:pPr>
        <w:spacing w:after="0" w:line="16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U.S., the FDA has granted Orphan Drug Designation to pamrevlumab for the treatment of IPF, locally advanced unresectable pancreatic cancer, and DMD. Pamrevlumab has also received Fast Track designation from the FDA for the treatment of both IPF and locally advanced unresectable pancreatic cancer.</w:t>
      </w:r>
    </w:p>
    <w:p>
      <w:pPr>
        <w:spacing w:after="0" w:line="289"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Idiopathic Pulmonary Fibrosis</w:t>
      </w:r>
    </w:p>
    <w:p>
      <w:pPr>
        <w:spacing w:after="0" w:line="11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We recently began enrolling ZEPHYRUS and continue to enroll patients in this double-blind, placebo-controlled Phase 3 trial of pamrevlumab in approximately 565 IPF patients.</w:t>
      </w:r>
    </w:p>
    <w:p>
      <w:pPr>
        <w:spacing w:after="0" w:line="279"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Locally Advanced Unresectable Pancreatic Cancer</w:t>
      </w:r>
    </w:p>
    <w:p>
      <w:pPr>
        <w:spacing w:after="0" w:line="117"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We recently began enrolling LAPIS, our double-blind placebo controlled Phase 3 trial of pamrevlumab as a neoadjuvant therapy for locally advanced unresectable pancreatic cancer. We intend to enroll approximately 260 patients, randomized 1:1 to receive either pamrevlumab in combination with gemcitabine and nab-paclitaxel, or placebo with gemcitabine and nab-paclitaxel.</w:t>
      </w:r>
    </w:p>
    <w:p>
      <w:pPr>
        <w:spacing w:after="0" w:line="289"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Duchenne Muscular Dystrophy</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DMD, all 21 non-ambulatory patients from our fully enrolled Phase 2 open-label single-arm trial have completed over one year of treatment with pamrevlumab. Based on our administrative analysis and advice we received from expert advisors, we are planning to share these results with the FDA in the fourth quarter of this year to discuss our clinical development plan for DMD.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Partnerships for Roxadustat</w:t>
      </w:r>
    </w:p>
    <w:p>
      <w:pPr>
        <w:spacing w:after="0" w:line="12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Our current and future research, development, manufacturing and commercialization efforts with respect to roxadustat and our other product candidates currently in development depend on funds from our collaboration agreements with Astellas and AstraZeneca as described below.</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Astellas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June 2005, we entered into a collaboration agreement with Astellas for the development and commercialization (but not manufacture) of roxadustat for the treatment of anemia in Japan (“Japan Agreement”). In April 2006, we entered into the Europe Agreement with Astellas for roxadustat for the treatment of anemia in Europe, the Commonwealth of Independent States, the Middle East, and South Africa. Under these agreements, we provide Astellas the right to develop and commercialize roxadustat for anemia indications in these territories.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share responsibility with Astellas for clinical development activities required for the U.S. and the EU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 Astellas may also terminate the agreements for convenience upon advance written notice to us. In the event of any termination of the agreements, Astellas will transfer and assign to us the regulatory filings for roxadustat and will assign or license to us the relevant trademarks used with the products in the Astellas territories. Under certain terminations, Astellas is also obligated to pay us a termination fee.</w:t>
      </w:r>
    </w:p>
    <w:p>
      <w:pPr>
        <w:spacing w:after="0" w:line="178"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 The aggregate amount of such consideration received through September 30, 2019 totals $487.6 million. Additionally, under these agreements, Astellas pays 100% of the commercialization costs in its territories. Astellas will pay us a transfer price, based on net sales, in the low 20% range for our manufacture and delivery of roxadustat.</w:t>
      </w:r>
    </w:p>
    <w:p>
      <w:pPr>
        <w:spacing w:after="0" w:line="158"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September 2019, Japan’s Ministry of Health, Labour and Welfare approved roxadustat for the treatment of anemia associated with dialysis CKD patients. Accordingly, the consideration of $12.5 million associated with this milestone was included in the transaction price and allocated to performance obligations under the Japan Agreement in the third quarter of 2019. This milestone payment was received in October 2019.</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second quarter of 2019, we received positive topline results from analyses of pooled major adverse cardiac event (“MACE”) and MACE+ data from its Phase 3 trials evaluating roxadustat as a treatment for dialysis and non-dialysis CKD patients, enabling Astellas to prepare for an MAA submission to the EMA during their fiscal year 2019, which ends on March 31, 2020, following our planned NDA submission to the FDA in 2019. We evaluated the two regulatory milestone payments associated with the planned MAA submission and concluded that these milestones became probable of being achieved in the second quarter of 2019. Accordingly, the total consideration of $130.0 million associated with these milestones was included in the transaction price and allocated to performance obligations under the Europe Agreement in the second quarter of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addition, as of September 30, 2019, Astellas had separate investments of $80.5 million in the equity of FibroGen,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AstraZeneca</w:t>
      </w:r>
    </w:p>
    <w:p>
      <w:pPr>
        <w:spacing w:after="0" w:line="1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July 2013, we entered into the U.S./RoW Agreement, a collaboration agreement with AstraZeneca for roxadustat for the treatment of anemia in the U.S. and all territories not previously licensed to Astellas, except China. In July 2013, through our China subsidiary and related affiliates, we entered into the China Agreement, a collaboration agreement with AstraZeneca for roxadustat for the treatment of anemia in China. Under these agreements we provide AstraZeneca the right to develop and commercialize roxadustat for anemia in these territories. We share responsibility with AstraZeneca for clinical development activities required for U.S. regulatory approval of roxadustat.</w:t>
      </w:r>
    </w:p>
    <w:p>
      <w:pPr>
        <w:spacing w:after="0" w:line="18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2015, we reached the $116.5 million cap on our initial funding obligations (during which time we shared 50% of the joint initial development costs), therefore all development and commercialization costs for roxadustat for the treatment of anemia in CKD in the U.S., Europe, Japan and all other markets outside of China have been paid by Astellas and AstraZeneca since reaching the cap.</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China, FibroGen (China) Medical Technology Development Co., Ltd. (“FibroGen Beijing”) will conduct the development work for CKD anemia, will hold all of the regulatory licenses issued by China regulatory authorities, and will be primarily responsible for regulatory, clinical and manufacturing. China development costs are shared 50/50. AstraZeneca is also responsible for 100% of development expenses in all other licensed territories outside of China. Outside of China, we are responsible, through our contract manufacturers, for the manufacture and supply of all quantities of roxadustat to be used in development and commercialization under the AstraZeneca agreements.</w:t>
      </w:r>
    </w:p>
    <w:p>
      <w:pPr>
        <w:spacing w:after="0" w:line="18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Under the AstraZeneca agreements, we will receive upfront and subsequent non-contingent payments totaling $402.2 million.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 The aggregate amount of such consideration received through September 30, 2019 totals $444.2 million.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the U.S./RoW Agreement, AstraZeneca will pay for all commercialization costs in the U.S. and RoW and AstraZeneca will be responsible for the U.S. commercialization of roxadustat, with FibroGen undertaking specified promotional activities in the end-stage renal disease segment in the U.S.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8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Under the China Agreement, which is conducted through FibroGen China Anemia Holdings, Ltd. (“FibroGen China”), the commercial collaboration is structured as a 50/50 profit share. AstraZeneca will conduct commercialization activities in China and fund roxadustat launch costs in China until FibroGen Beijing has achieved profitability. At that time, AstraZeneca will recoup 50% of their historical launch costs out of initial roxadustat profits in China.</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Payments under these agreements include over $500.0 million in upfront, non-contingent and other payments received or expected to be received prior to the first U.S. approval, excluding development expense reimbursement.</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for paying for a substantial portion of the post-termination development costs under the agreed development plan until regulatory approval.</w:t>
      </w:r>
    </w:p>
    <w:p>
      <w:pPr>
        <w:spacing w:after="0" w:line="187"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for paying for transition costs as well as make a specified payment to FibroGen China.</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mentioned above, during the second quarter of 2019, we received positive topline results from analyses of pooled MACE and MACE+ data from its Phase 3 trials for roxadustat, enabling our NDA submission to the FDA, which is anticipated in 2019. We evaluated the regulatory milestone payment associated with this planned NDA submission and concluded that this milestone became probable of being achieved in the second quarter of 2019. Accordingly, the consideration of $50.0 million associated with this milestone was included in the transaction price and allocated to performance obligations under the U.S./ RoW Agreement in the second quarter of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Related to Collaboration Agreements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Total cash consideration received through September 30, 2019 and potential cash consideration, other than development cost reimbursement, transfer price payments, royalties and profit share, pursuant to our existing collaboration agreements are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jc w:val="center"/>
              <w:ind w:right="155"/>
              <w:spacing w:after="0"/>
              <w:rPr>
                <w:sz w:val="20"/>
                <w:szCs w:val="20"/>
                <w:color w:val="auto"/>
              </w:rPr>
            </w:pPr>
            <w:r>
              <w:rPr>
                <w:rFonts w:ascii="Arial" w:cs="Arial" w:eastAsia="Arial" w:hAnsi="Arial"/>
                <w:sz w:val="14"/>
                <w:szCs w:val="14"/>
                <w:b w:val="1"/>
                <w:bCs w:val="1"/>
                <w:color w:val="auto"/>
                <w:w w:val="93"/>
              </w:rPr>
              <w:t>Cash</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center"/>
              <w:ind w:right="217"/>
              <w:spacing w:after="0"/>
              <w:rPr>
                <w:sz w:val="20"/>
                <w:szCs w:val="20"/>
                <w:color w:val="auto"/>
              </w:rPr>
            </w:pPr>
            <w:r>
              <w:rPr>
                <w:rFonts w:ascii="Arial" w:cs="Arial" w:eastAsia="Arial" w:hAnsi="Arial"/>
                <w:sz w:val="14"/>
                <w:szCs w:val="14"/>
                <w:b w:val="1"/>
                <w:bCs w:val="1"/>
                <w:color w:val="auto"/>
                <w:w w:val="96"/>
              </w:rPr>
              <w:t>Additional</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Total</w:t>
            </w:r>
          </w:p>
        </w:tc>
      </w:tr>
      <w:tr>
        <w:trPr>
          <w:trHeight w:val="149"/>
        </w:trPr>
        <w:tc>
          <w:tcPr>
            <w:tcW w:w="2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1"/>
              </w:rPr>
              <w:t>Received Through</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4"/>
              </w:rPr>
              <w:t>Potential</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Potential</w:t>
            </w:r>
          </w:p>
        </w:tc>
      </w:tr>
      <w:tr>
        <w:trPr>
          <w:trHeight w:val="171"/>
        </w:trPr>
        <w:tc>
          <w:tcPr>
            <w:tcW w:w="2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September 30, 2019</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center"/>
              <w:ind w:right="217"/>
              <w:spacing w:after="0"/>
              <w:rPr>
                <w:sz w:val="20"/>
                <w:szCs w:val="20"/>
                <w:color w:val="auto"/>
              </w:rPr>
            </w:pPr>
            <w:r>
              <w:rPr>
                <w:rFonts w:ascii="Arial" w:cs="Arial" w:eastAsia="Arial" w:hAnsi="Arial"/>
                <w:sz w:val="14"/>
                <w:szCs w:val="14"/>
                <w:b w:val="1"/>
                <w:bCs w:val="1"/>
                <w:color w:val="auto"/>
                <w:w w:val="90"/>
              </w:rPr>
              <w:t>Cash Payments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Cash Payments</w:t>
            </w:r>
          </w:p>
        </w:tc>
      </w:tr>
      <w:tr>
        <w:trPr>
          <w:trHeight w:val="156"/>
        </w:trPr>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jc w:val="center"/>
              <w:ind w:right="217"/>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Astellas--related-party:</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840" w:type="dxa"/>
            <w:vAlign w:val="bottom"/>
          </w:tcPr>
          <w:p>
            <w:pPr>
              <w:ind w:left="240"/>
              <w:spacing w:after="0"/>
              <w:rPr>
                <w:sz w:val="20"/>
                <w:szCs w:val="20"/>
                <w:color w:val="auto"/>
              </w:rPr>
            </w:pPr>
            <w:r>
              <w:rPr>
                <w:rFonts w:ascii="Arial" w:cs="Arial" w:eastAsia="Arial" w:hAnsi="Arial"/>
                <w:sz w:val="18"/>
                <w:szCs w:val="18"/>
                <w:color w:val="auto"/>
              </w:rPr>
              <w:t>Japan Agreement</w:t>
            </w:r>
          </w:p>
        </w:tc>
        <w:tc>
          <w:tcPr>
            <w:tcW w:w="11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77,593</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95,000</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172,593</w:t>
            </w:r>
          </w:p>
        </w:tc>
        <w:tc>
          <w:tcPr>
            <w:tcW w:w="120" w:type="dxa"/>
            <w:vAlign w:val="bottom"/>
          </w:tcPr>
          <w:p>
            <w:pPr>
              <w:spacing w:after="0"/>
              <w:rPr>
                <w:sz w:val="19"/>
                <w:szCs w:val="19"/>
                <w:color w:val="auto"/>
              </w:rPr>
            </w:pPr>
          </w:p>
        </w:tc>
      </w:tr>
      <w:tr>
        <w:trPr>
          <w:trHeight w:val="230"/>
        </w:trPr>
        <w:tc>
          <w:tcPr>
            <w:tcW w:w="2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Europe Agreement</w:t>
            </w:r>
          </w:p>
        </w:tc>
        <w:tc>
          <w:tcPr>
            <w:tcW w:w="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745,000</w:t>
            </w:r>
          </w:p>
        </w:tc>
        <w:tc>
          <w:tcPr>
            <w:tcW w:w="120" w:type="dxa"/>
            <w:vAlign w:val="bottom"/>
            <w:shd w:val="clear" w:color="auto" w:fill="CFF0FC"/>
          </w:tcPr>
          <w:p>
            <w:pPr>
              <w:spacing w:after="0"/>
              <w:rPr>
                <w:sz w:val="19"/>
                <w:szCs w:val="19"/>
                <w:color w:val="auto"/>
              </w:rPr>
            </w:pPr>
          </w:p>
        </w:tc>
      </w:tr>
      <w:tr>
        <w:trPr>
          <w:trHeight w:val="223"/>
        </w:trPr>
        <w:tc>
          <w:tcPr>
            <w:tcW w:w="2840" w:type="dxa"/>
            <w:vAlign w:val="bottom"/>
          </w:tcPr>
          <w:p>
            <w:pPr>
              <w:ind w:left="500"/>
              <w:spacing w:after="0"/>
              <w:rPr>
                <w:sz w:val="20"/>
                <w:szCs w:val="20"/>
                <w:color w:val="auto"/>
              </w:rPr>
            </w:pPr>
            <w:r>
              <w:rPr>
                <w:rFonts w:ascii="Arial" w:cs="Arial" w:eastAsia="Arial" w:hAnsi="Arial"/>
                <w:sz w:val="18"/>
                <w:szCs w:val="18"/>
                <w:color w:val="auto"/>
              </w:rPr>
              <w:t>Total Astellas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487,593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430,000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917,593</w:t>
            </w:r>
          </w:p>
        </w:tc>
        <w:tc>
          <w:tcPr>
            <w:tcW w:w="120" w:type="dxa"/>
            <w:vAlign w:val="bottom"/>
          </w:tcPr>
          <w:p>
            <w:pPr>
              <w:spacing w:after="0"/>
              <w:rPr>
                <w:sz w:val="19"/>
                <w:szCs w:val="19"/>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AstraZeneca:</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840" w:type="dxa"/>
            <w:vAlign w:val="bottom"/>
          </w:tcPr>
          <w:p>
            <w:pPr>
              <w:ind w:left="240"/>
              <w:spacing w:after="0"/>
              <w:rPr>
                <w:sz w:val="20"/>
                <w:szCs w:val="20"/>
                <w:color w:val="auto"/>
              </w:rPr>
            </w:pPr>
            <w:r>
              <w:rPr>
                <w:rFonts w:ascii="Arial" w:cs="Arial" w:eastAsia="Arial" w:hAnsi="Arial"/>
                <w:sz w:val="18"/>
                <w:szCs w:val="18"/>
                <w:color w:val="auto"/>
              </w:rPr>
              <w:t>U.S. / RoW Agreement</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389,000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860,000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1,249,000</w:t>
            </w:r>
          </w:p>
        </w:tc>
        <w:tc>
          <w:tcPr>
            <w:tcW w:w="120" w:type="dxa"/>
            <w:vAlign w:val="bottom"/>
          </w:tcPr>
          <w:p>
            <w:pPr>
              <w:spacing w:after="0"/>
              <w:rPr>
                <w:sz w:val="19"/>
                <w:szCs w:val="19"/>
                <w:color w:val="auto"/>
              </w:rPr>
            </w:pPr>
          </w:p>
        </w:tc>
      </w:tr>
      <w:tr>
        <w:trPr>
          <w:trHeight w:val="230"/>
        </w:trPr>
        <w:tc>
          <w:tcPr>
            <w:tcW w:w="2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China Agreement</w:t>
            </w:r>
          </w:p>
        </w:tc>
        <w:tc>
          <w:tcPr>
            <w:tcW w:w="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321,500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376,700</w:t>
            </w:r>
          </w:p>
        </w:tc>
        <w:tc>
          <w:tcPr>
            <w:tcW w:w="120" w:type="dxa"/>
            <w:vAlign w:val="bottom"/>
            <w:shd w:val="clear" w:color="auto" w:fill="CFF0FC"/>
          </w:tcPr>
          <w:p>
            <w:pPr>
              <w:spacing w:after="0"/>
              <w:rPr>
                <w:sz w:val="19"/>
                <w:szCs w:val="19"/>
                <w:color w:val="auto"/>
              </w:rPr>
            </w:pPr>
          </w:p>
        </w:tc>
      </w:tr>
      <w:tr>
        <w:trPr>
          <w:trHeight w:val="223"/>
        </w:trPr>
        <w:tc>
          <w:tcPr>
            <w:tcW w:w="2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AstraZeneca</w:t>
            </w:r>
          </w:p>
        </w:tc>
        <w:tc>
          <w:tcPr>
            <w:tcW w:w="9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444,200</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1,181,500</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1,625,700</w:t>
            </w:r>
          </w:p>
        </w:tc>
        <w:tc>
          <w:tcPr>
            <w:tcW w:w="120" w:type="dxa"/>
            <w:vAlign w:val="bottom"/>
            <w:tcBorders>
              <w:bottom w:val="single" w:sz="8" w:color="CFF0FC"/>
            </w:tcBorders>
          </w:tcPr>
          <w:p>
            <w:pPr>
              <w:spacing w:after="0"/>
              <w:rPr>
                <w:sz w:val="19"/>
                <w:szCs w:val="19"/>
                <w:color w:val="auto"/>
              </w:rPr>
            </w:pPr>
          </w:p>
        </w:tc>
      </w:tr>
      <w:tr>
        <w:trPr>
          <w:trHeight w:val="223"/>
        </w:trPr>
        <w:tc>
          <w:tcPr>
            <w:tcW w:w="28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9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931,793</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1,611,500</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2,543,293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These collaboration agreements also provide for reimbursement of certain fully burdened research and development costs as well as direct out of pocket expenses.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Nine Months Ended</w:t>
            </w: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7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gridSpan w:val="3"/>
          </w:tcPr>
          <w:p>
            <w:pPr>
              <w:jc w:val="right"/>
              <w:ind w:right="238"/>
              <w:spacing w:after="0" w:line="155" w:lineRule="exact"/>
              <w:rPr>
                <w:sz w:val="20"/>
                <w:szCs w:val="20"/>
                <w:color w:val="auto"/>
              </w:rPr>
            </w:pPr>
            <w:r>
              <w:rPr>
                <w:rFonts w:ascii="Arial" w:cs="Arial" w:eastAsia="Arial" w:hAnsi="Arial"/>
                <w:sz w:val="14"/>
                <w:szCs w:val="14"/>
                <w:b w:val="1"/>
                <w:bCs w:val="1"/>
                <w:color w:val="auto"/>
                <w:w w:val="94"/>
              </w:rPr>
              <w:t>(dollars in thousands)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License revenue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11,935</w:t>
            </w:r>
          </w:p>
        </w:tc>
        <w:tc>
          <w:tcPr>
            <w:tcW w:w="2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11,935</w:t>
            </w: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$ 162,517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14,323</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$ 148,194</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Development and other revenue</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29,027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(8,367)</w:t>
            </w:r>
          </w:p>
        </w:tc>
        <w:tc>
          <w:tcPr>
            <w:tcW w:w="9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(29) %</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85,507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90,580</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(5,073)</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Product revenue</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579</w:t>
            </w: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579</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33,174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440" w:type="dxa"/>
            <w:vAlign w:val="bottom"/>
            <w:tcBorders>
              <w:top w:val="single" w:sz="8" w:color="CFF0FC"/>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$ 248,603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104,903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$ 143,700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revenue to date has been generated substantially from our collaboration agreements with Astellas and AstraZeneca.</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our revenue recognition policy, license revenue includes amounts from upfront, non-refundable license payments and amounts allocated pursuant to the standalone selling price method from other consideration received during the periods. This revenue is generally recognized as deliverables are met and services are performed.</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Development revenue include co-development and other development related services. Co-development services are recognized as revenue in the period in which they are billed to our partners, excluding China. For China co-development services, revenue is deferred until the end of the development period once all performance obligations have been satisfied. Other development related services are recognized as revenue over the non-contingent development period, ranging from 36 to 89 months, based on a proportional performance method. Other revenues consist of sales of research and development material and have been included with Development and other revenue in the condensed consolidated statements of operations, as they have not been material for any of the periods presented.</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third quarter of 2019, we started generating insignificant amount of revenue from commercial sales of roxadustat drug product in China. In the future, we will continue generating revenue from collaboration agreements in the form of license fees, milestone payments, reimbursements for collaboration services and royalties on product sales, and from product sales. We expect that any revenues we generate will fluctuate from quarter to quarter due to the uncertain timing and amount of such payments and sales.</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Total revenue increased $4.1 million, or 14% for the three months ended September 30, 2019, and increased $143.7 million, or 137% for the nine months ended September 30, 2019, compared to the same periods a year ago for the reasons discussed in the sections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Revenue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Nine Months Ended</w:t>
            </w:r>
          </w:p>
        </w:tc>
        <w:tc>
          <w:tcPr>
            <w:tcW w:w="20" w:type="dxa"/>
            <w:vAlign w:val="bottom"/>
          </w:tcPr>
          <w:p>
            <w:pPr>
              <w:spacing w:after="0"/>
              <w:rPr>
                <w:sz w:val="14"/>
                <w:szCs w:val="14"/>
                <w:color w:val="auto"/>
              </w:rPr>
            </w:pPr>
          </w:p>
        </w:tc>
        <w:tc>
          <w:tcPr>
            <w:tcW w:w="10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tcPr>
          <w:p>
            <w:pPr>
              <w:jc w:val="right"/>
              <w:ind w:right="156"/>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64"/>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5"/>
          </w:tcPr>
          <w:p>
            <w:pPr>
              <w:ind w:left="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60"/>
              <w:spacing w:after="0"/>
              <w:rPr>
                <w:sz w:val="20"/>
                <w:szCs w:val="20"/>
                <w:color w:val="auto"/>
              </w:rPr>
            </w:pPr>
            <w:r>
              <w:rPr>
                <w:rFonts w:ascii="Arial" w:cs="Arial" w:eastAsia="Arial" w:hAnsi="Arial"/>
                <w:sz w:val="18"/>
                <w:szCs w:val="18"/>
                <w:color w:val="auto"/>
              </w:rPr>
              <w:t>Astellas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11,935</w:t>
            </w:r>
          </w:p>
        </w:tc>
        <w:tc>
          <w:tcPr>
            <w:tcW w:w="260" w:type="dxa"/>
            <w:vAlign w:val="bottom"/>
          </w:tcPr>
          <w:p>
            <w:pPr>
              <w:spacing w:after="0"/>
              <w:rPr>
                <w:sz w:val="19"/>
                <w:szCs w:val="19"/>
                <w:color w:val="auto"/>
              </w:rPr>
            </w:pPr>
          </w:p>
        </w:tc>
        <w:tc>
          <w:tcPr>
            <w:tcW w:w="540" w:type="dxa"/>
            <w:vAlign w:val="bottom"/>
          </w:tcPr>
          <w:p>
            <w:pPr>
              <w:jc w:val="right"/>
              <w:ind w:right="356"/>
              <w:spacing w:after="0"/>
              <w:rPr>
                <w:sz w:val="20"/>
                <w:szCs w:val="20"/>
                <w:color w:val="auto"/>
              </w:rPr>
            </w:pPr>
            <w:r>
              <w:rPr>
                <w:rFonts w:ascii="Arial" w:cs="Arial" w:eastAsia="Arial" w:hAnsi="Arial"/>
                <w:sz w:val="18"/>
                <w:szCs w:val="18"/>
                <w:color w:val="auto"/>
                <w:w w:val="79"/>
              </w:rPr>
              <w:t>$</w:t>
            </w: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11,935</w:t>
            </w: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$ 129,405</w:t>
            </w:r>
          </w:p>
        </w:tc>
        <w:tc>
          <w:tcPr>
            <w:tcW w:w="26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14,323</w:t>
            </w: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2"/>
              </w:rPr>
              <w:t>$ 115,082</w:t>
            </w: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803</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33,112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33,112</w:t>
            </w: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640" w:type="dxa"/>
            <w:vAlign w:val="bottom"/>
          </w:tcPr>
          <w:p>
            <w:pPr>
              <w:ind w:left="500"/>
              <w:spacing w:after="0"/>
              <w:rPr>
                <w:sz w:val="20"/>
                <w:szCs w:val="20"/>
                <w:color w:val="auto"/>
              </w:rPr>
            </w:pPr>
            <w:r>
              <w:rPr>
                <w:rFonts w:ascii="Arial" w:cs="Arial" w:eastAsia="Arial" w:hAnsi="Arial"/>
                <w:sz w:val="18"/>
                <w:szCs w:val="18"/>
                <w:color w:val="auto"/>
              </w:rPr>
              <w:t>Total license revenue</w:t>
            </w: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11,935</w:t>
            </w: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11,935</w:t>
            </w: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$ 162,517</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$ 148,194</w:t>
            </w: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1,035</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License revenue increased $11.9 million, or 100%, and $148.2 million, or 1,035%, respectively for the three and nine months ended September 30, 2019 compared to the same periods a year ago.</w:t>
      </w:r>
    </w:p>
    <w:p>
      <w:pPr>
        <w:spacing w:after="0" w:line="17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License revenue recognized under our collaboration agreements with Astellas in the three and nine months ended September 2019 was related to a regulatory milestone of $12.5 million associated with the NDA approval in Japan achieved during the third quarter of 2019. Of this amount, $11.9 million was allocated to license revenue and recognized during the third quarter of 2019. License revenue recognized under our collaboration agreements with Astellas in the nine months ended September 2019 was also related to two regulatory milestones totaling $130.0 million associated with the planned MAA submission in Europe that were included in the transaction price during the second quarter of 2019 when these milestones became probable of being achieved. Of this amount, $117.5 million was allocated to license revenue and recognized during the second quarter of 2019.</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License revenue recognized under our collaboration agreements with AstraZeneca in the nine months ended September 2019 was related to a regulatory milestone of $50.0 million associated with the planned NDA submission in the U.S. that was included in the transaction price during the second quarter of 2019 when this milestone became probable of being achieved. Of this amount, $33.1 million was allocated to license revenue and recognized during the second quarter of 2019.</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License revenue in the nine months ended September 2018 was related to a $15.0 million regulatory milestone associated with Astellas’ expected NDA submission in Japan that was included in the transaction price during the second quarter of 2018 when this milestone became probable of being achieved. Of this amount, $14.3 million was allocated to license revenue and recognized during the second quarter of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Development and Other Revenue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w w:val="98"/>
              </w:rPr>
              <w:t>Three Months Ended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4"/>
          </w:tcPr>
          <w:p>
            <w:pPr>
              <w:jc w:val="right"/>
              <w:ind w:right="277"/>
              <w:spacing w:after="0" w:line="155" w:lineRule="exact"/>
              <w:rPr>
                <w:sz w:val="20"/>
                <w:szCs w:val="20"/>
                <w:color w:val="auto"/>
              </w:rPr>
            </w:pPr>
            <w:r>
              <w:rPr>
                <w:rFonts w:ascii="Arial" w:cs="Arial" w:eastAsia="Arial" w:hAnsi="Arial"/>
                <w:sz w:val="14"/>
                <w:szCs w:val="14"/>
                <w:b w:val="1"/>
                <w:bCs w:val="1"/>
                <w:color w:val="auto"/>
                <w:w w:val="94"/>
              </w:rPr>
              <w:t>(dollars in thousands)</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Development revenue:</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Arial" w:cs="Arial" w:eastAsia="Arial" w:hAnsi="Arial"/>
                <w:sz w:val="18"/>
                <w:szCs w:val="18"/>
                <w:color w:val="auto"/>
              </w:rPr>
              <w:t>Astellas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3,533</w:t>
            </w:r>
          </w:p>
        </w:tc>
        <w:tc>
          <w:tcPr>
            <w:tcW w:w="4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5,132</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(1,599)</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(31)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25,614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16,449</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9,165</w:t>
            </w:r>
          </w:p>
        </w:tc>
        <w:tc>
          <w:tcPr>
            <w:tcW w:w="3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(6,770)</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 %</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59,891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74,096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8"/>
              </w:rPr>
              <w:t>(14,205)</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3"/>
        </w:trPr>
        <w:tc>
          <w:tcPr>
            <w:tcW w:w="3320" w:type="dxa"/>
            <w:vAlign w:val="bottom"/>
          </w:tcPr>
          <w:p>
            <w:pPr>
              <w:ind w:left="500"/>
              <w:spacing w:after="0"/>
              <w:rPr>
                <w:sz w:val="20"/>
                <w:szCs w:val="20"/>
                <w:color w:val="auto"/>
              </w:rPr>
            </w:pPr>
            <w:r>
              <w:rPr>
                <w:rFonts w:ascii="Arial" w:cs="Arial" w:eastAsia="Arial" w:hAnsi="Arial"/>
                <w:sz w:val="18"/>
                <w:szCs w:val="18"/>
                <w:color w:val="auto"/>
              </w:rPr>
              <w:t>Total development revenue</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20,658</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29,027</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(8,369)</w:t>
            </w:r>
          </w:p>
        </w:tc>
        <w:tc>
          <w:tcPr>
            <w:tcW w:w="3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 %</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85,505</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90,545</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(5,040)</w:t>
            </w:r>
          </w:p>
        </w:tc>
        <w:tc>
          <w:tcPr>
            <w:tcW w:w="3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Other revenue</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100  %</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23"/>
        </w:trPr>
        <w:tc>
          <w:tcPr>
            <w:tcW w:w="3320" w:type="dxa"/>
            <w:vAlign w:val="bottom"/>
          </w:tcPr>
          <w:p>
            <w:pPr>
              <w:ind w:left="500"/>
              <w:spacing w:after="0"/>
              <w:rPr>
                <w:sz w:val="20"/>
                <w:szCs w:val="20"/>
                <w:color w:val="auto"/>
              </w:rPr>
            </w:pPr>
            <w:r>
              <w:rPr>
                <w:rFonts w:ascii="Arial" w:cs="Arial" w:eastAsia="Arial" w:hAnsi="Arial"/>
                <w:sz w:val="18"/>
                <w:szCs w:val="18"/>
                <w:color w:val="auto"/>
                <w:w w:val="93"/>
              </w:rPr>
              <w:t>Total development and other revenue</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20,660</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29,027</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(8,367</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 %</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85,507</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90,580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(5,073</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Development and other revenue decreased $8.4 million, or 29% for the three months ended September 30, 2019, and $5.1 million, or 6% for the nine months ended September 30, 2019, compared to the same periods a year ago.</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Development revenue recognized under our collaboration agreements with Astellas decreased $1.6 million, or 31% for the three months ended September 30, 2019, primarily due to a decrease in co-development billings related to the development of roxadustat as a result of the substantial completion of Phase 3 trials for roxadustat, partially offset by the allocated revenue of $0.5 million related to the above-mentioned $12.5 million associated with the regulatory milestone of the NDA approval in Japan.</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Development revenue recognized under our collaboration agreements with Astellas increased $9.2 million, or 56% for the nine months ended September 30, 2019, primarily due to the allocated revenue of $11.6 million during the nine month period of 2019 related to the above-mentioned $130.0 million associated with the regulatory milestones of the planned MAA submission in Europe, partially offset by a decrease in co-development billings related to the development of roxadustat as a result of the substantial completion of Phase 3 trials for roxadustat.</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Development revenue recognized under our collaboration agreements with AstraZeneca decreased $6.8 million, or 28% for the three months ended September 30, 2019, primarily due to a decrease in co-development billings related to the development of roxadustat as a result of the substantial completion of Phase 3 trials for roxadustat.</w:t>
      </w:r>
    </w:p>
    <w:p>
      <w:pPr>
        <w:spacing w:after="0" w:line="181"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Development revenue recognized under our collaboration agreements with AstraZeneca for the nine months ended September 30, 2019 decreased $14.2 million, or 19% due to a decrease in co-development billings related to the development of roxadustat as a result of the substantial completion of Phase 3 trials for roxadustat, partially offset by the allocated revenue of $9.0 million during the nine month period of 2019 related to the above-mentioned $50.0 million associated with the regulatory milestone of the planned NDA submission in the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Revenue</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third quarter of 2019, the Company started commercial sales of roxadustat drug product in China, and recognized related net product revenue of $0.6 million in the same period, which was net of immaterial contractual sales discounts.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Costs and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w w:val="98"/>
              </w:rPr>
              <w:t>Three Months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gridSpan w:val="5"/>
          </w:tcPr>
          <w:p>
            <w:pPr>
              <w:ind w:left="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Operating costs and expenses</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242</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242</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242</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242</w:t>
            </w: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49,963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56,443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(6,480)</w:t>
            </w: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(11) %</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152,467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165,555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(13,088)</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35,823</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15,356</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20,467</w:t>
            </w:r>
          </w:p>
        </w:tc>
        <w:tc>
          <w:tcPr>
            <w:tcW w:w="30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133</w:t>
            </w:r>
          </w:p>
        </w:tc>
        <w:tc>
          <w:tcPr>
            <w:tcW w:w="480" w:type="dxa"/>
            <w:vAlign w:val="bottom"/>
            <w:tcBorders>
              <w:bottom w:val="single" w:sz="8" w:color="CFF0FC"/>
            </w:tcBorders>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84,772</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45,961</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38,811</w:t>
            </w:r>
          </w:p>
        </w:tc>
        <w:tc>
          <w:tcPr>
            <w:tcW w:w="32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84</w:t>
            </w:r>
          </w:p>
        </w:tc>
        <w:tc>
          <w:tcPr>
            <w:tcW w:w="3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w w:val="93"/>
              </w:rPr>
              <w:t>Total operating costs and expenses</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86,028</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71,799</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14,229</w:t>
            </w:r>
          </w:p>
        </w:tc>
        <w:tc>
          <w:tcPr>
            <w:tcW w:w="3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48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237,481</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211,516</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25,965</w:t>
            </w:r>
          </w:p>
        </w:tc>
        <w:tc>
          <w:tcPr>
            <w:tcW w:w="3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Total operating costs and expenses increased $14.2 million, or 20% for the three months ended September 30, 2019, and $26.0 million, or 12% for the nine months ended September 30, 2019, respectively, compared to the same periods a year ago, for the reasons discussed in the sections below.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 of goods sold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During the third quarter of 2019, we started commercial sales of roxadustat drug product in China. The associated cost of goods sold was $0.2 million.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Research and development expenses consist of third-party research and development costs and the fully-burdened amount of costs associated with work performed under collaboration agreements. Research and development costs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research and development expenses incurred during the three and nine months ended September 30, 2019 and 2018:</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Product Candidate</w:t>
            </w:r>
          </w:p>
        </w:tc>
        <w:tc>
          <w:tcPr>
            <w:tcW w:w="16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9"/>
              </w:rPr>
              <w:t>Phase of Development</w:t>
            </w:r>
          </w:p>
        </w:tc>
        <w:tc>
          <w:tcPr>
            <w:tcW w:w="220" w:type="dxa"/>
            <w:vAlign w:val="bottom"/>
          </w:tcPr>
          <w:p>
            <w:pPr>
              <w:spacing w:after="0"/>
              <w:rPr>
                <w:sz w:val="14"/>
                <w:szCs w:val="14"/>
                <w:color w:val="auto"/>
              </w:rPr>
            </w:pPr>
          </w:p>
        </w:tc>
        <w:tc>
          <w:tcPr>
            <w:tcW w:w="2740" w:type="dxa"/>
            <w:vAlign w:val="bottom"/>
            <w:gridSpan w:val="4"/>
          </w:tcPr>
          <w:p>
            <w:pPr>
              <w:jc w:val="right"/>
              <w:ind w:right="295"/>
              <w:spacing w:after="0"/>
              <w:rPr>
                <w:sz w:val="20"/>
                <w:szCs w:val="20"/>
                <w:color w:val="auto"/>
              </w:rPr>
            </w:pPr>
            <w:r>
              <w:rPr>
                <w:rFonts w:ascii="Arial" w:cs="Arial" w:eastAsia="Arial" w:hAnsi="Arial"/>
                <w:sz w:val="14"/>
                <w:szCs w:val="14"/>
                <w:b w:val="1"/>
                <w:bCs w:val="1"/>
                <w:color w:val="auto"/>
                <w:w w:val="98"/>
              </w:rPr>
              <w:t>Three Months Ended September 30,</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3460" w:type="dxa"/>
            <w:vAlign w:val="bottom"/>
            <w:vMerge w:val="continue"/>
          </w:tcPr>
          <w:p>
            <w:pPr>
              <w:spacing w:after="0"/>
              <w:rPr>
                <w:sz w:val="13"/>
                <w:szCs w:val="13"/>
                <w:color w:val="auto"/>
              </w:rPr>
            </w:pPr>
          </w:p>
        </w:tc>
        <w:tc>
          <w:tcPr>
            <w:tcW w:w="1660" w:type="dxa"/>
            <w:vAlign w:val="bottom"/>
            <w:gridSpan w:val="3"/>
            <w:vMerge w:val="continue"/>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Roxadustat</w:t>
            </w:r>
          </w:p>
        </w:tc>
        <w:tc>
          <w:tcPr>
            <w:tcW w:w="1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Phase 3</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27,686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34,308</w:t>
            </w:r>
          </w:p>
        </w:tc>
        <w:tc>
          <w:tcPr>
            <w:tcW w:w="6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91,733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Pamrevlumab</w:t>
            </w:r>
          </w:p>
        </w:tc>
        <w:tc>
          <w:tcPr>
            <w:tcW w:w="1660" w:type="dxa"/>
            <w:vAlign w:val="bottom"/>
            <w:gridSpan w:val="3"/>
          </w:tcPr>
          <w:p>
            <w:pPr>
              <w:ind w:left="140"/>
              <w:spacing w:after="0"/>
              <w:rPr>
                <w:sz w:val="20"/>
                <w:szCs w:val="20"/>
                <w:color w:val="auto"/>
              </w:rPr>
            </w:pPr>
            <w:r>
              <w:rPr>
                <w:rFonts w:ascii="Arial" w:cs="Arial" w:eastAsia="Arial" w:hAnsi="Arial"/>
                <w:sz w:val="18"/>
                <w:szCs w:val="18"/>
                <w:color w:val="auto"/>
              </w:rPr>
              <w:t>Phase 2/3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16,152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16,125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45,310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42,754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FG-5200</w:t>
            </w:r>
          </w:p>
        </w:tc>
        <w:tc>
          <w:tcPr>
            <w:tcW w:w="1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Preclinical</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9"/>
              </w:rPr>
              <w:t>Other research and development expenses</w:t>
            </w:r>
          </w:p>
        </w:tc>
        <w:tc>
          <w:tcPr>
            <w:tcW w:w="140" w:type="dxa"/>
            <w:vAlign w:val="bottom"/>
            <w:tcBorders>
              <w:bottom w:val="single" w:sz="8" w:color="CFF0FC"/>
            </w:tcBorders>
          </w:tcPr>
          <w:p>
            <w:pPr>
              <w:spacing w:after="0"/>
              <w:rPr>
                <w:sz w:val="19"/>
                <w:szCs w:val="19"/>
                <w:color w:val="auto"/>
              </w:rPr>
            </w:pPr>
          </w:p>
        </w:tc>
        <w:tc>
          <w:tcPr>
            <w:tcW w:w="13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4,823</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4,964</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11,354</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w w:val="95"/>
              </w:rPr>
              <w:t>Total research and development expenses</w:t>
            </w:r>
          </w:p>
        </w:tc>
        <w:tc>
          <w:tcPr>
            <w:tcW w:w="14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49,963</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56,443</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152,467</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165,555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We expect our research and development expenses to increase in the future as we advance our product candidates through clinical trials and expand our product candidate portfolio. We expect development expenses to increase as we begin Phase 3 trials for pamrevlumab.</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Research and development expenses decreased $6.5 million, or 11% for the three months ended September 30, 2019, compared to the same period a year ago, as a result of decreases in drug development expenses of $5.5 million, clinical trials costs of $4.7 million, and $3.5 million of capitalization of inventory manufacturing costs, partially offset by increases in allocated facility related expense of $2.8 million, outside services of $2.6 million, and stock-based compensation expense of $1.7 million. Drug development expenses decreased primarily due to lower drug substance manufacturing activities related to pamrevlumab. Clinical trial costs decreased as a result of the substantial completion of Phase 3 trials for roxadustat, partially offset by the increases resulted from Phase 3 trials for pamrevlumab. Facility related expenses, as part of the allocated overhead costs, was higher due to increase in depreciation expenses related to China facilities, as well as due to $2.6 million amortization of finance lease ROU assets related to the adoption of ASC 842, and $1.1 million higher depreciation expenses related to the change estimated useful life for our leasehold improvements, from the building life to the shorter of the building life and remaining lease term, as a result of the adoption of ASC 842. Outside services costs increased due to higher license fees and consulting expenses related to pamrevlumab and higher scientific contract work related to roxadustat submission activities. Stock-based compensation expense increased primarily due to the cumulative impact of stock option grant activities.</w:t>
      </w:r>
    </w:p>
    <w:p>
      <w:pPr>
        <w:spacing w:after="0" w:line="18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Research and development expenses decreased $13.1 million, or 8% for the nine months ended September 30, 2019, compared to the same period a year ago, primarily due to decreases in clinical trials costs of $16.4 million, drug development expenses of $11.7 million, and $3.8 million of capitalization of inventory manufacturing costs, partially offset by increases in allocated facility related expense of $8.0 million, stock-based compensation expense of $7.5 million, and outside services of $5.1 million. Clinical trial costs decreased as a result of the substantial completion of Phase 3 trials for roxadustat, partially offset by the increases resulted from Phase 3 trials for pamrevlumab. Drug development expenses decreased primarily due to lower drug substance manufacturing activities related to pamrevlumab. Facility related expenses, as part of the allocated overhead costs, was higher due to increase in depreciation expenses related to China facilities, as well as due to $7.8 million amortization of finance lease ROU assets related to the adoption of ASC 842, and $3.3 million higher depreciation expenses related to the change estimated useful life for our leasehold improvements, from the building life to the shorter of the building life and remaining lease term, as a result of the adoption of ASC 842. Stock-based compensation expense increased due to the cumulative impact of stock option grant activities. Outside services costs increased due to higher scientific contract work related to roxadustat submission activities, higher medical affairs expenses for roxadustat in China and higher consulting expenses related to pamrevlumab.</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 Expenses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started to incur sales and marketing expenses in the first quarter of 2019 in China to prepare for commercial operations. 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including co-promotional expenses, recruiting fees and expenses associated with obtaining and maintaining patents.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anticipate that our SG&amp;A expenses will increase in the future as we increase our headcount to support our potential commercialization of our product candidates. We also anticipate increased expenses, including exchange listing and SEC requirements, director and officer insurance premiums, legal, audit and tax fees, regulatory compliance programs, and investor relations costs associated with being a public company and ceasing to be an emerging growth company. Additionally, we anticipate an increase in payroll and related expenses as a result of our preparation for commercial operations, especially as it relates to the sales and marketing of our product candidates.</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SG&amp;A expenses increased $20.5 million, or 133% for the three months ended September 30, 2019, compared to the same period a year ago, primarily due to increases in outside service expenses of $17.5 million, facility related expenses of $1.5 million, legal expense of $1.4 million, and employee-related costs of $1.2 million, partially offset by a decrease in stock-based compensation expense of $1.2 million. Outside service expenses increased due to the co-promotional expenses incurred of our preparation for commercial operations and licensing agreement fee associated with pamrevlumab. Facility related expenses, as part of the allocated overhead costs, was higher due to $2.6 million amortization of finance lease ROU assets related to the adoption of ASC 842, and $1.1 million higher depreciation expenses related to the change estimated useful life for our leasehold improvements, from the building life to the shorter of the building life and remaining lease term, as a result of the adoption of ASC 842. Legal expenses increased mainly associated with patent-related and international activities. Stock-based compensation expense decreased due to cancellation of our founding chief executive officer’s unvested options upon his passing during the current quarter, partially offset by cumulative impact of stock option grant activities. Employee-related costs increased due to higher headcount primarily in the sales and marketing functions in China.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SG&amp;A expenses increased $38.8 million, or 84% for the nine months ended September 30, 2019, compared to the same period a year ago, primarily due to increases in outside service expenses of $26.6 million, facility related expenses of $3.7 million, employee-related costs of $3.3 million, stock-based compensation expense of $2.9 million, and legal expense of $2.9 million. Outside service expenses increased due to the co-promotional expenses incurred of our preparation for commercial operations, and licensing agreement fee associated with pamrevlumab. Facility related expenses, as part of the allocated overhead costs, was higher due to $7.8 million amortization of finance lease ROU assets related to the adoption of ASC 842, and $3.3 million higher depreciation expenses related to the change estimated useful life for our leasehold improvements, from the building life to the shorter of the building life and remaining lease term, as a result of the adoption of ASC 842. Employee-related costs increased due to higher headcount primarily in the sales and marketing functions in China. Stock-based compensation expense increased due to cumulative impact of stock option grant activities, partially offset by the cancellation of our founding chief executive officer’s unvested options upon his passing during the current quarter. Legal expenses increased mainly associated with patent-related and international activities.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Income (Expense), Net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w w:val="97"/>
              </w:rPr>
              <w:t>Change</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7"/>
              </w:rPr>
              <w:t>Nine Months Ended</w:t>
            </w:r>
          </w:p>
        </w:tc>
        <w:tc>
          <w:tcPr>
            <w:tcW w:w="100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w w:val="89"/>
              </w:rPr>
              <w:t>Change</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97"/>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6"/>
          </w:tcPr>
          <w:p>
            <w:pPr>
              <w:jc w:val="right"/>
              <w:ind w:right="500"/>
              <w:spacing w:after="0" w:line="155" w:lineRule="exact"/>
              <w:rPr>
                <w:sz w:val="20"/>
                <w:szCs w:val="20"/>
                <w:color w:val="auto"/>
              </w:rPr>
            </w:pPr>
            <w:r>
              <w:rPr>
                <w:rFonts w:ascii="Arial" w:cs="Arial" w:eastAsia="Arial" w:hAnsi="Arial"/>
                <w:sz w:val="14"/>
                <w:szCs w:val="14"/>
                <w:b w:val="1"/>
                <w:bCs w:val="1"/>
                <w:color w:val="auto"/>
                <w:w w:val="92"/>
              </w:rPr>
              <w:t>(dollars in thousands)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net: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(702)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(2,739)</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w w:val="88"/>
              </w:rPr>
              <w:t>2,037</w:t>
            </w:r>
          </w:p>
        </w:tc>
        <w:tc>
          <w:tcPr>
            <w:tcW w:w="280" w:type="dxa"/>
            <w:vAlign w:val="bottom"/>
          </w:tcPr>
          <w:p>
            <w:pPr>
              <w:spacing w:after="0"/>
              <w:rPr>
                <w:sz w:val="19"/>
                <w:szCs w:val="19"/>
                <w:color w:val="auto"/>
              </w:rPr>
            </w:pP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(74)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(2,209)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(8,257)</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  6,048</w:t>
            </w:r>
          </w:p>
        </w:tc>
        <w:tc>
          <w:tcPr>
            <w:tcW w:w="3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and other, net</w:t>
            </w:r>
          </w:p>
        </w:tc>
        <w:tc>
          <w:tcPr>
            <w:tcW w:w="1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4,193</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88"/>
              </w:rPr>
              <w:t>1,114</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12,496</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7,796</w:t>
            </w:r>
          </w:p>
        </w:tc>
        <w:tc>
          <w:tcPr>
            <w:tcW w:w="24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4,700</w:t>
            </w: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23"/>
        </w:trPr>
        <w:tc>
          <w:tcPr>
            <w:tcW w:w="3880" w:type="dxa"/>
            <w:vAlign w:val="bottom"/>
          </w:tcPr>
          <w:p>
            <w:pPr>
              <w:ind w:left="500"/>
              <w:spacing w:after="0"/>
              <w:rPr>
                <w:sz w:val="20"/>
                <w:szCs w:val="20"/>
                <w:color w:val="auto"/>
              </w:rPr>
            </w:pPr>
            <w:r>
              <w:rPr>
                <w:rFonts w:ascii="Arial" w:cs="Arial" w:eastAsia="Arial" w:hAnsi="Arial"/>
                <w:sz w:val="18"/>
                <w:szCs w:val="18"/>
                <w:color w:val="auto"/>
              </w:rPr>
              <w:t>Total interest and other,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8"/>
              </w:rPr>
              <w:t>3,151</w:t>
            </w: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927</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10,287</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$ 10,748</w:t>
            </w:r>
          </w:p>
        </w:tc>
        <w:tc>
          <w:tcPr>
            <w:tcW w:w="3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(2,331) %</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Before December 31, 2018, interest expense included payments made for imputed interest related to the facility lease financing obligations for our leased facilities in San Francisco and China. After adoption of ASC 842 as of January 1, 2019, the interest expense relates to our finance lease liabilities accretion primarily for our leased facilities in San Francisco and China. Interest expense also includes interest related to the Technology Development Center of the Republic of Finland product development obligations.</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Interest expense decreased $2.0 million, or 74% for the three months ended September 30, 2019, and $6.0 million, or 73% for the nine months ended September 30, 2019, compared to the same periods a year ago, due to the different method of interest computation of interest expense under the old and new lease accounting rules.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Income and Other, Net</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Interest income and other,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w:t>
      </w:r>
    </w:p>
    <w:p>
      <w:pPr>
        <w:spacing w:after="0" w:line="181"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Interest income and other, net increased $1.1 million, or 36% for the three months ended September 30, 2019, compared to the same period a year ago, primarily due to higher interest earned on our cash, cash equivalents and investments associated with the higher average balances.</w:t>
      </w:r>
    </w:p>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Interest income and other, net increased $4.7 million, or 60% for the nine months ended September 30, 2019, compared to the same period a year ago, primarily due to $4.6 million higher interest earned on our cash, cash equivalents and investments associated with the higher average balances and $1.2 million higher net unrealized gain on our marketable equity investments, partially offset by $1.3 million related to a one-time realized foreign currency gain during the prior year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9"/>
              </w:rPr>
              <w:t>Three Months Ended September 30,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56"/>
        </w:trPr>
        <w:tc>
          <w:tcPr>
            <w:tcW w:w="3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737"/>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77"/>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r>
      <w:tr>
        <w:trPr>
          <w:trHeight w:val="156"/>
        </w:trPr>
        <w:tc>
          <w:tcPr>
            <w:tcW w:w="3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60" w:type="dxa"/>
            <w:vAlign w:val="bottom"/>
            <w:gridSpan w:val="5"/>
          </w:tcPr>
          <w:p>
            <w:pPr>
              <w:jc w:val="right"/>
              <w:ind w:right="1017"/>
              <w:spacing w:after="0" w:line="155" w:lineRule="exact"/>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(49,363)</w:t>
            </w:r>
          </w:p>
        </w:tc>
        <w:tc>
          <w:tcPr>
            <w:tcW w:w="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(42,432)</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157"/>
              <w:spacing w:after="0"/>
              <w:rPr>
                <w:sz w:val="20"/>
                <w:szCs w:val="20"/>
                <w:color w:val="auto"/>
              </w:rPr>
            </w:pPr>
            <w:r>
              <w:rPr>
                <w:rFonts w:ascii="Arial" w:cs="Arial" w:eastAsia="Arial" w:hAnsi="Arial"/>
                <w:sz w:val="18"/>
                <w:szCs w:val="18"/>
                <w:color w:val="auto"/>
              </w:rPr>
              <w:t>21,409</w:t>
            </w:r>
          </w:p>
        </w:tc>
        <w:tc>
          <w:tcPr>
            <w:tcW w:w="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(107,074)</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217"/>
              <w:spacing w:after="0"/>
              <w:rPr>
                <w:sz w:val="20"/>
                <w:szCs w:val="20"/>
                <w:color w:val="auto"/>
              </w:rPr>
            </w:pPr>
            <w:r>
              <w:rPr>
                <w:rFonts w:ascii="Arial" w:cs="Arial" w:eastAsia="Arial" w:hAnsi="Arial"/>
                <w:sz w:val="18"/>
                <w:szCs w:val="18"/>
                <w:color w:val="auto"/>
              </w:rPr>
              <w:t>76</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157"/>
              <w:spacing w:after="0"/>
              <w:rPr>
                <w:sz w:val="20"/>
                <w:szCs w:val="20"/>
                <w:color w:val="auto"/>
              </w:rPr>
            </w:pPr>
            <w:r>
              <w:rPr>
                <w:rFonts w:ascii="Arial" w:cs="Arial" w:eastAsia="Arial" w:hAnsi="Arial"/>
                <w:sz w:val="18"/>
                <w:szCs w:val="18"/>
                <w:color w:val="auto"/>
              </w:rPr>
              <w:t>256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Pr>
          <w:p>
            <w:pPr>
              <w:spacing w:after="0"/>
              <w:rPr>
                <w:sz w:val="19"/>
                <w:szCs w:val="19"/>
                <w:color w:val="auto"/>
              </w:rPr>
            </w:pPr>
          </w:p>
        </w:tc>
      </w:tr>
      <w:tr>
        <w:trPr>
          <w:trHeight w:val="230"/>
        </w:trPr>
        <w:tc>
          <w:tcPr>
            <w:tcW w:w="3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Effective tax rate</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for income taxes for the three and nine months ended September 30, 2019 and 2018 were due to foreign taxes.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Based upon the weight of available evidence, which includes our historical operating performance, reported cumulative net losses since inception, we have established and continue to maintain a full valuation allowance against our deferred tax assets as we do not currently believe that realization of those assets is more likely than not.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historically funded our operations principally from the sale of common stock (including our public offering proceeds) and from the execution of certain collaboration agreements involving license payments, milestones and reimbursement for development services.</w:t>
      </w:r>
    </w:p>
    <w:p>
      <w:pPr>
        <w:spacing w:after="0" w:line="170"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As of September 30, 2019, we had cash and cash equivalents of $196.6 million. Cash is invested in accordance with our investment policy, primarily with a view to liquidity and capital preservation. Investments, consisting of available-for-sale debt investments, marketable equity investments, term deposit and certificate of deposit, and stated at fair value, are also available as a source of liquidity. As of September 30, 2019, we had short-term and long-term investments of $432.0 million and $11.0 million, respectively. As of September 30, 2019, a total of $18.1 million of our cash and cash equivalents was held outside of the U.S. in our foreign subsidiaries to be used primarily for our China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the third quarter of 2019, we started generating insignificant amount of revenue from commercial sales of roxadustat drug product in China. We do not expect to generate significant revenue from product sales. We anticipate that we will continue to generate losses for the foreseeable future, and we expect the losses to increase as we continue the development of, and seek regulatory approvals for, our product candidates, and begin to commercialize any approved products. To date, we have funded certain portions of our research and development and manufacturing efforts in China and Europe through outside parties. There is no guarantee that sufficient funds will be available to continue to fund these development efforts through commercialization or otherwise. Although our share of expenses for roxadustat will decrease as a result of AstraZeneca funding all non-China collaboration expenses not reimbursed by Astellas, we expect our research and development expenses to continue to increase as we invest in our other programs. We are subject to all the risks related to the development and commercialization of novel therapeutics, and we may encounter unforeseen expenses, difficulties, complications, delays and other unknown factors that may adversely affect our business. We anticipate that we will need substantial additional funding in connection with our continuing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our existing cash and cash equivalents, short-term and long-term investments and accounts receivable will be sufficient to meet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anticipated cash requirements for at least the next 12 months from the date of this Quarterly Report on Form 10-Q. However, our liquidity assumptions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 over time, and we could utilize our available financial resources sooner than we currently expect. In addition, we may elect to raise additional funds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time through equity, equity-linked or debt financing arrangements. Our forecast of the period of time through which our financial resources will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adequate to support our operations is a forward-looking statement and involves risks and uncertainties, and actual results could vary as a result of a number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factors. We have based this estimate on assumptions that may prove to be wrong, and we could utilize our available capital resources sooner than we currently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expect. Our future capital requirements and the adequacy of available funds will depend on many factors, including those set forth under Part II, Item 1A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 in this Quarterly Report on Form 10-Q. We may not be able to secure additional financing to meet our operating requirements on acceptable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or at all. If we raise additional funds by issuing equity or equity-linked securities, the ownership of our existing stockholders will be diluted. If we raise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additional financing by the incurrence of indebtedness, we will be subject to increased fixed payment obligations and could also be subject to restrictive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covenants, such as limitations on our ability to incur additional debt, and other operating restrictions that could adversely impact our ability to conduct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business. If we are unable to obtain needed additional funds, we will have to reduce our operating costs and expenses, which would impair our growth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prospects and could otherwise negatively impact our business.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Sources and Uses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set forth below:</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gridSpan w:val="4"/>
          </w:tcPr>
          <w:p>
            <w:pPr>
              <w:jc w:val="right"/>
              <w:ind w:right="50"/>
              <w:spacing w:after="0" w:line="155"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(33,655)</w:t>
            </w:r>
          </w:p>
        </w:tc>
        <w:tc>
          <w:tcPr>
            <w:tcW w:w="420" w:type="dxa"/>
            <w:vAlign w:val="bottom"/>
            <w:gridSpan w:val="2"/>
          </w:tcPr>
          <w:p>
            <w:pPr>
              <w:jc w:val="right"/>
              <w:ind w:right="29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(58,679)</w:t>
            </w: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145,051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(59,267)</w:t>
            </w:r>
          </w:p>
        </w:tc>
      </w:tr>
      <w:tr>
        <w:trPr>
          <w:trHeight w:val="230"/>
        </w:trPr>
        <w:tc>
          <w:tcPr>
            <w:tcW w:w="2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(4,016)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11,057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exchange rate changes on cash and cash equivalents</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r>
      <w:tr>
        <w:trPr>
          <w:trHeight w:val="223"/>
        </w:trPr>
        <w:tc>
          <w:tcPr>
            <w:tcW w:w="20" w:type="dxa"/>
            <w:vAlign w:val="bottom"/>
          </w:tcPr>
          <w:p>
            <w:pPr>
              <w:spacing w:after="0"/>
              <w:rPr>
                <w:sz w:val="19"/>
                <w:szCs w:val="19"/>
                <w:color w:val="auto"/>
              </w:rPr>
            </w:pPr>
          </w:p>
        </w:tc>
        <w:tc>
          <w:tcPr>
            <w:tcW w:w="5360" w:type="dxa"/>
            <w:vAlign w:val="bottom"/>
          </w:tcPr>
          <w:p>
            <w:pPr>
              <w:ind w:left="480"/>
              <w:spacing w:after="0"/>
              <w:rPr>
                <w:sz w:val="20"/>
                <w:szCs w:val="20"/>
                <w:color w:val="auto"/>
              </w:rPr>
            </w:pPr>
            <w:r>
              <w:rPr>
                <w:rFonts w:ascii="Arial" w:cs="Arial" w:eastAsia="Arial" w:hAnsi="Arial"/>
                <w:sz w:val="18"/>
                <w:szCs w:val="18"/>
                <w:color w:val="auto"/>
              </w:rPr>
              <w:t>Net increase (decrease) in cash and cash equivalents</w:t>
            </w:r>
          </w:p>
        </w:tc>
        <w:tc>
          <w:tcPr>
            <w:tcW w:w="7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107,334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(106,936)</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Net cash used in operating activities was $33.7 million for the nine months ended September 30, 2019 and consisted primarily of net income of $21.2 million adjusted for non-cash items of $61.9 million, offset by a net decrease in operating assets and liabilities of $116.7 million. The significant non-cash items included stock-based compensation expense of $48.9 million, depreciation expense of $8.7 million, amortization of finance lease ROU of $7.7 million, and net amortization of premium and discount on investments of $3.4 million. The significant items in the changes in operating assets and liabilities included decreases resulting from prepaid expenses and other current assets of $128.9 million, deferred revenue of $50.9 million, accounts payable of $5.1 million and inventories of $4.9 million, partially offset by increases resulting from accounts receivable of $44.5 million, other long-term liabilities of $24.1 million, and accrued and other liabilities of $5.5 million. The changes in prepaid expenses and other current assets and deferred revenue were primarily driven by a $130.0 million unbilled contract asset related to regulatory milestones under the Europe Agreement with Astellas associated with the planned MAA submission in Europe and a $50.0 million contract asset related to a regulatory milestone under the U.S./RoW Agreement with AstraZeneca associated with the planned NDA submission in the U.S., which were not billable to Astellas or AstraZeneca as of September 30, 2019, net of the associated deferred revenues of $4.0 million and $50.0 million, respectively. The change in deferred revenue was also related to the recognition of revenues under our collaboration agreements with Astellas and AstraZeneca. The changes in accounts payable, and accrued and other liabilities were primarily driven by the timing of invoicing and payments. The change in inventories was due to the capitalization of inventory costs starting in June 2019 when FibroGen Beijing began productions of roxadustat for commercial sales purposes. The change in accounts receivable was primarily related to the collection of $43.9 million from Astellas for the roxadustat active pharmaceutical ingredient (“API”) delivery in December 2018 under the Japan Amendment, as well as the timing of the receipt of upfront payments and recognition of revenues under our collaboration agreements with Astellas and AstraZeneca. The change in other long-term liabilities was primarily due to the accrual of co-promotional expenses for our preparation for commercial operation that is not expected to be paid in the next year.</w:t>
      </w:r>
    </w:p>
    <w:p>
      <w:pPr>
        <w:spacing w:after="0" w:line="17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Net cash used in operating activities was $58.7 million for the nine months ended September 30, 2018 and consisted primarily of net loss of $107.4 million adjusted for non-cash items of $43.7 million and a net increase in operating assets and liabilities of $5.0 million. The significant non-cash items included stock-based compensation expense of $38.4 million, depreciation expense of $4.7 million, unrealized loss on our marketable equity investments of $1.1 million, and realized foreign currency gain of $1.1 million. The significant items in the changes in operating assets and liabilities included increases resulting from deferred revenue of $19.7 million, accounts payable of $4.6 million, prepaid expenses and other current assets of $1.9 million, and other assets of $1.4 million, partially offset by decreases resulting from accounts receivable of $14.7 million and accrued liabilities of $9.9 million. The changes in deferred revenue were primarily related to a sale of roxadustat API to Astellas during the second quarter of 2018. The sale was made pursuant to a material transfer agreement in anticipation of the execution of an amendment to the Japan Agreement. The associated consideration was recorded as deferred revenue as of September 30, 2018 as control of the product had not fully transferred to Astellas as of September 30, 2018. The changes in accrued liabilities and accounts payable were primarily driven by clinical trial activities and the timing of payments. The change in prepaid expenses and other current assets was primarily driven by the timing of invoicing and payments. The change in other assets was primarily related to a cash refund for value added tax received by FibroGen China during the third quarter of 2018. The change in accounts receivable was related to the timing of the receipt of upfront payments and recognition of revenues under our collaboration agreements with Astellas and AstraZeneca.</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Investing activities primarily consist of purchases of property and equipment, purchases of investments, and proceeds from the maturity and sale of investments.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Net cash provided by used in investing activities was $145.1 million for the nine months ended September 30, 2019 and consisted of proceeds from maturities of investments of $305.0 million partially offset by cash used in purchases of available-for-sale securities and term deposit of $155.9 million and purchased of property and equipment of $4.0 million.</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cash used in investing activities was $59.3 million for the nine months ended September 30, 2018 and consisted of cash used in purchases of available-for-sale securities of $110.2 million and purchases of property and equipment of $4.9 million, partially offset by proceeds from maturities of available-for-sale securities of $47.4 million and sales of available-for-sale securities of $8.2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Financing activities primarily reflect proceeds from the issuance of our common stock, cash paid for payroll taxes on restricted stock unit releases, and repayments of our lease liability.</w:t>
      </w:r>
    </w:p>
    <w:p>
      <w:pPr>
        <w:spacing w:after="0" w:line="1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Net cash used in financing activities was $4.0 million for the nine months ended September 30, 2019 and consisted primarily of $10.6 million of cash paid for payroll taxes on restricted stock unit releases and $8.8 million of repayments of finance lease liabilities, partially offset by $15.7 million of proceeds from the issuance of common stock upon exercise of stock options and purchases under our 2014 Employee Share Purchase Plan (the “ESPP”).</w:t>
      </w:r>
    </w:p>
    <w:p>
      <w:pPr>
        <w:spacing w:after="0" w:line="14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Net cash provided by financing activities was $11.1 million for the nine months ended September 30, 2018 and consisted primarily of $24.6 million of proceeds from the issuance of common stock upon exercise of stock options and purchases under the ESPP, partially offset by $13.3 million of cash paid for payroll taxes on restricted stock unit releases.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During the three and nine months ended September 30, 2019,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have been no material changes in our contractual obligations compared to those disclosed in our Annual Report on Form 10-K for the year ended December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There have been no material changes in our critical accounting policies, estimates and judgments during the three and nine months ended September 30, 2019 compared with the disclosures in Part II, Item 7 of our Annual Report on Form 10-K for the year ended December 31, 2018, except for the following: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We determine if an arrangement is a lease at inception date when it is given control of the underlying assets. We elected the practical expedient not to apply the lease recognition and measurement requirements to short-term leases, which is any lease with a term of 12 months or less as of the commencement date that does not include an option to purchase the underlying asset that the lessee is reasonably certain to exercise.</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building leases previously accounted for as build-to-suit arrangements prior to the adoption of Accounting Standards Codification (“ASC”) 842 - Leases (“ASC 842”) are accounted for as finance leases under the requirements of ASC 842.</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Lease right-of-use (“ROU”) assets and lease liabilities are recognized based on the present value of the future minimum lease payments over the lease term at commencement date. As our leases do not typically provide an implicit rate, we use incremental borrowing rate based on the information available at commencement date in determining the present value of future payments. We will reassess the incremental borrowing rate periodically for application to any new leases or lease modifications or if any company-specific or general business conditions warrant.</w:t>
      </w:r>
    </w:p>
    <w:p>
      <w:pPr>
        <w:spacing w:after="0" w:line="18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Lease ROU assets include any lease payments made and initial direct costs incurred. We have lease agreements with lease and non-lease components. We generally account for each lease component separately from the non-lease components, and excludes all non-lease components from the calculation of minimum lease payments in measuring the ROU asset and lease liability.</w:t>
      </w:r>
    </w:p>
    <w:p>
      <w:pPr>
        <w:spacing w:after="0" w:line="18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Our lease terms may include options to extend or terminate the lease when it is reasonably certain that we will exercise that option. Lease expense for minimum lease payments is recognized on a straight-line basis over the lease terms.</w:t>
      </w:r>
    </w:p>
    <w:p>
      <w:pPr>
        <w:spacing w:after="0" w:line="17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Regarding leases denominated in a foreign currency, the related ROU assets and the corresponding ROU asset amortization costs are remeasured using the exchange rate in effect at the date of initial recognition; the related lease liabilities are remeasured using the exchange rate in effect at the end of the reporting period; the lease costs and interest expenses related to lease liability accretion are remeasured using average exchange rates for the reporting period.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Under this guidance, an entity is required to recognize ROU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xml:space="preserve"> (“ASU 2018-11”), which provides entities the option to initially apply ASU 2016-02 at the adoption date and recognize a cumulative-effect adjustment to the opening balance of retained earnings in the period of adoption. We adopted the above guidance under ASC 842 as of January 1, 2019, using the modified retrospective transition method, through a cumulative-effect adjustment at the beginning of the first quarter of 2019. We elected the optional transition method under the guidance, which allowed it to continue applying previous lease guidance (ASC 840) for the comparative prior year periods presentation in the year of adoption. Accordingly, we recognized a cumulative-effect adjustment to the opening balance of retained earnings in the period of adoption. In addition, we elected the package of transitional practical expedients permitted under the transition guidance under ASC 842, which among other things allows us to carry forward its historical lease classification, and not to reassess initial direct costs for any existing leases. Meanwhile, we did not elect the hindsight practical expedient because it has limited number of leases, lease terms are straightforward, and most of its lease renewals are undefined until negotiated. In addition, we have elected the short term accounting policy practical expedient and does not apply the balance sheet recognition requirements for short-term leases (excluding expenses relating to leases with a lease term of one month or less), by class of underlying asset to which the right of use relates. We have not elected the non-lease components practical expedient, and therefore accounts for each lease component separately from the non-lease components. Upon adoption of ASC 842, we classified our existing building leases that were previously accounted for as build-to-suit arrangements as finance leases, and applied the transition guidance. Accordingly, we derecognized the assets and liabilities previously recognized under ASC 840 build-to-suit guidance. In addition, as a result of applying the transition guidance, we also recorded an adjustment to the accumulated depreciation of related leasehold improvements to reflect a change in estimated useful life from the building life to the shorter of the building life and remaining lease term. Differences between the assets and liabilities derecognized were recorded to the opening balance of retained earnings. The adoption of ASC 842 resulted in a recognition of approximately $50.3 million in right-of-use assets and approximately $62.0 million in lease liabilities, respectively, upon adoption of this guidance, for our operating leases and finance leases. The adoption of ASC 842 had no impact to our condensed statement of operations or condensed consolidated statement of cash flows for the three and nine months ended September 30, 2019. Refer to Note 1 to the condensed consolidated financial statements for details.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 - Reporting Comprehensive Income: Reclassification of Certain Tax Effects from</w:t>
      </w:r>
      <w:r>
        <w:rPr>
          <w:rFonts w:ascii="Arial" w:cs="Arial" w:eastAsia="Arial" w:hAnsi="Arial"/>
          <w:sz w:val="18"/>
          <w:szCs w:val="18"/>
          <w:color w:val="auto"/>
        </w:rPr>
        <w:t xml:space="preserve"> </w:t>
      </w:r>
      <w:r>
        <w:rPr>
          <w:rFonts w:ascii="Arial" w:cs="Arial" w:eastAsia="Arial" w:hAnsi="Arial"/>
          <w:sz w:val="18"/>
          <w:szCs w:val="18"/>
          <w:i w:val="1"/>
          <w:iCs w:val="1"/>
          <w:color w:val="auto"/>
        </w:rPr>
        <w:t>Accumulated Other Comprehensive Income</w:t>
      </w:r>
      <w:r>
        <w:rPr>
          <w:rFonts w:ascii="Arial" w:cs="Arial" w:eastAsia="Arial" w:hAnsi="Arial"/>
          <w:sz w:val="18"/>
          <w:szCs w:val="18"/>
          <w:color w:val="auto"/>
        </w:rPr>
        <w:t>. This guidance allows for the reclassification from accumulated other comprehensive income to retained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stranded tax effects arising from the reduction of the U.S. federal statutory income tax rate from 35% to 21%. This guidance was effective for annual reporting periods beginning after December 15, 2018, including interim periods. We adopted this guidance on January 1, 2019 using the modified retrospective approach, which resulted in a reclassification of $0.6 million, based on the aggregate portfolio approach, from accumulated other comprehensive loss to opening accumulated deficit. The adoption of this guidance had no impact to our condensed consolidated statement of operations or condensed consolidated statement of cash flows for the three and nine months ended September 30, 2019. Refer to Note 1 to the condensed consolidated financial statements for details.</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August 2018, the SEC adopted the final rule under SEC Release No. 33-10532, </w:t>
      </w:r>
      <w:r>
        <w:rPr>
          <w:rFonts w:ascii="Arial" w:cs="Arial" w:eastAsia="Arial" w:hAnsi="Arial"/>
          <w:sz w:val="16"/>
          <w:szCs w:val="16"/>
          <w:i w:val="1"/>
          <w:iCs w:val="1"/>
          <w:color w:val="auto"/>
        </w:rPr>
        <w:t>“Disclosure Update and Simplification,”</w:t>
      </w:r>
      <w:r>
        <w:rPr>
          <w:rFonts w:ascii="Arial" w:cs="Arial" w:eastAsia="Arial" w:hAnsi="Arial"/>
          <w:sz w:val="16"/>
          <w:szCs w:val="16"/>
          <w:color w:val="auto"/>
        </w:rPr>
        <w:t xml:space="preserve"> amending certain disclosure requirements that were redundant, duplicative, overlapping, outdated or superseded. In addition, the amendments expanded the disclosure requirements on the analysis of stockholders’ equity for interim financial statements. Under the amendments, the changes in each caption of stockholders’ equity presented in the balance sheet must be provided in a note or separate statement. This analysis should present a reconciliation of the beginning balance to the ending balance of each period for which a statement of comprehensive income is presented. This final rule was effective as of November 5, 2018. Accordingly, we included the condensed consolidated statements of changes in stockholders’ equity in Form 10-Q starting the first quarter of 2019.</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This guidance expands the scope of Topic 718 to include share-based payment transactions for acquiring goods and services from nonemployees.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The guidance also specifies that Topic 718 applies to all share-based payment transactions in which a grantor acquires goods or services to be used or consumed in a grantor’s own operations by issuing share-based payment awards. This guidance is effective for annual reporting period beginning after December 15, 2018, including interim periods. We adopted this guidance on January 1, 2019 and the adoption of this guidance had no impact to our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Intangibles—Goodwill and Other—Internal-Use Software (Subtopic 350-40):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Implementation Costs Incurred in a Cloud Computing Arrangement That Is a Service Contract. </w:t>
      </w:r>
      <w:r>
        <w:rPr>
          <w:rFonts w:ascii="Arial" w:cs="Arial" w:eastAsia="Arial" w:hAnsi="Arial"/>
          <w:sz w:val="16"/>
          <w:szCs w:val="16"/>
          <w:color w:val="auto"/>
        </w:rPr>
        <w:t>This guidance requires capitalizing implementation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to develop or obtain internal-use software (and hosting arrangements that include an internal-use software license). This guidance should be applied either retrospectively or prospectively, and is effective for annual reporting period beginning after December 15, 2019 including interim periods, with early adoption permitted. We are currently evaluating the impact on our consolidated financial statements upon adoption of this guidance.</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Framework—Changes to the Disclosure Requirements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Fair Value Measurement. </w:t>
      </w:r>
      <w:r>
        <w:rPr>
          <w:rFonts w:ascii="Arial" w:cs="Arial" w:eastAsia="Arial" w:hAnsi="Arial"/>
          <w:sz w:val="16"/>
          <w:szCs w:val="16"/>
          <w:color w:val="auto"/>
        </w:rPr>
        <w:t>This guidance amends existing fair value measurement disclosure requirements by adding, changing, or removing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This guidance is effective for annual reporting period beginning after December 15, 2019 including interim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We do not anticipate a material impact to our consolidated financial statements upon adoption of this guidance.</w:t>
      </w:r>
    </w:p>
    <w:p>
      <w:pPr>
        <w:spacing w:after="0" w:line="16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xml:space="preserve">. Subsequently in April 2019, the FASB issued amendments to the guidance, ASU 2019-04, </w:t>
      </w:r>
      <w:r>
        <w:rPr>
          <w:rFonts w:ascii="Arial" w:cs="Arial" w:eastAsia="Arial" w:hAnsi="Arial"/>
          <w:sz w:val="17"/>
          <w:szCs w:val="17"/>
          <w:i w:val="1"/>
          <w:iCs w:val="1"/>
          <w:color w:val="auto"/>
        </w:rPr>
        <w:t>Codification Improvements to Topic 326, Financial Instruments—</w:t>
      </w:r>
      <w:r>
        <w:rPr>
          <w:rFonts w:ascii="Arial" w:cs="Arial" w:eastAsia="Arial" w:hAnsi="Arial"/>
          <w:sz w:val="17"/>
          <w:szCs w:val="17"/>
          <w:color w:val="auto"/>
        </w:rPr>
        <w:t xml:space="preserve"> </w:t>
      </w:r>
      <w:r>
        <w:rPr>
          <w:rFonts w:ascii="Arial" w:cs="Arial" w:eastAsia="Arial" w:hAnsi="Arial"/>
          <w:sz w:val="17"/>
          <w:szCs w:val="17"/>
          <w:i w:val="1"/>
          <w:iCs w:val="1"/>
          <w:color w:val="auto"/>
        </w:rPr>
        <w:t>Credit Losses, Topic 815, Derivatives and Hedging, and Topic 825, Financial Instruments</w:t>
      </w:r>
      <w:r>
        <w:rPr>
          <w:rFonts w:ascii="Arial" w:cs="Arial" w:eastAsia="Arial" w:hAnsi="Arial"/>
          <w:sz w:val="17"/>
          <w:szCs w:val="17"/>
          <w:color w:val="auto"/>
        </w:rPr>
        <w:t>, and in May 2019, ASU 2019-05,</w:t>
      </w:r>
      <w:r>
        <w:rPr>
          <w:rFonts w:ascii="Arial" w:cs="Arial" w:eastAsia="Arial" w:hAnsi="Arial"/>
          <w:sz w:val="17"/>
          <w:szCs w:val="17"/>
          <w:i w:val="1"/>
          <w:iCs w:val="1"/>
          <w:color w:val="auto"/>
        </w:rPr>
        <w:t xml:space="preserve"> Financial Instruments – Credit Losses (Topic 326): Targeted Transition Relief</w:t>
      </w:r>
      <w:r>
        <w:rPr>
          <w:rFonts w:ascii="Arial" w:cs="Arial" w:eastAsia="Arial" w:hAnsi="Arial"/>
          <w:sz w:val="17"/>
          <w:szCs w:val="17"/>
          <w:color w:val="auto"/>
        </w:rPr>
        <w:t>. This guidance requires that financial assets measured at amortized cost be presented at the net amount</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to be collected. The measurement of expected credit losses is based on historical experience, current conditions, and reasonable and supportable forecasts that affect the collectability. ASU 2019-04 clarifies that equity instruments without readily determinable fair values for which an entity has elected the measurement alternative should be remeasured to fair value as of the date that an observable transaction occurred. ASU 2019-05 provides an option to irrevocably elect to measure certain individual financial assets at fair value instead of amortized cost. The amendments should be applied on either a prospective transition or modified-retrospective approach depending on the subtopic. This guidance is effective for the annual reporting period beginning after December 15, 2019, including interim periods within that reporting period. We do not anticipate a material impact to its consolidated financial statements upon adoption of this guidance.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We believe there has been no material change in our exposure to market risks as disclosed in our Annual Report on Form 10-K for the year ended December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Our management, with the participation of our Chief Executive Officer and our Chief Financial Officer, has evaluated the effectiveness of our disclosure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controls and procedures as of the end of the period covered by this Quarterly Report on Form 10-Q. Disclosure controls and procedures (as defined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Rules 13a-15(e) and 15d-15(e) under the Exchange Act) are designed to provide reasonable assurance that information required to be disclosed by a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reports that it files or submits under the Exchange Act is recorded, processed, summarized and reported, within the time periods specified in the SEC’s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rules and forms and that such information is accumulated and communicated to the company’s management, including its Chief Executive Officer and Chief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 as appropriate to allow timely decisions regarding required disclosure.</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Based on management’s evaluation, our principal executive officer and principal financial officer have concluded that our disclosure controls and procedures were effective as of September 30, 2019 at the reasonable assurance level.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September 30, 2019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Because of the inherent limitations in a cost-effective control system, misstatements due to error or fraud may occur and not be detected.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spacing w:after="0" w:line="17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We have marked with an asterisk (*) those risks described below that reflect substantive changes from the risks described under Part 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included in our Annual Report on Form 10-K for the year ended December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History of Operating Losses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6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are a clinical-stage biopharmaceutical company with two lead product candidates in clinical development, roxadustat in anemia in chronic kidney disease (“CKD”) and myelodysplastic syndromes (“MDS”), and pamrevlumab (FG-3019) in idiopathic pulmonary fibrosis (“IPF”), pancreatic cancer and Duchenne muscular dystrophy (“DMD”). Pharmaceutical product development is a highly risky undertaking. To date, we have focused our efforts and most of our resources on hypoxia-inducible factor (“HIF”) and fibrosis biology research, as well as developing our lead product candidates. We are not profitable and, other than in 2006 and 2007 due to income received from our Astellas Pharma Inc. (“Astellas”) collaboration, have incurred annual losses each year since our inception. We have not generated any revenue based on commercial drug product sales to date. We continue to incur significant research and development and other expenses related to our ongoing operations. Our net loss for the year ended December 31, 2018 was approximately $86.4 million, and our net loss for the years ended December 31, 2017, and 2016, recast from amounts previously reported due to the adoption of the new revenue standards, were approximately $120.9 million and $58.1 million, respectively. As of September 30, 2019, we had an accumulated deficit of $686.6 million. As of September 30, 2019, we had capital resources consisting of cash, cash equivalents and short-term investments of $628.6 million plus $11.0 million of long-term investments classified as available for sale securities. Despite contractual development and cost coverage commitments from our collaboration partners, AstraZeneca AB (“AstraZeneca”) and Astellas, and the potential to receive milestone and other payments from these partners, and despite commercialization efforts in China and Japan for roxadustat for the treatment of anemia caused by CKD, we anticipate we will continue to incur losses on an annual basis for the foreseeable future, and we anticipate these losses will increase as we continue our development of and seek regulatory approval for our product candidates and in our commercialization efforts. If we do not successfully develop and continue to obtain regulatory approval for our existing or any future product candidates and effectively manufacture, market and sell any product candidates that are approved, we may never generate product sales, and even if we do generate product sales,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believe that we will continue to expend substantial resources for the foreseeable future as we continue late-stage clinical development of roxadustat, grow our operations in the People’s Republic of China (“China”), expand our clinical development efforts on pamrevlumab, seek regulatory approval, prepare for the commercialization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ourselves and our partners. In particular, in our planned Phase 3 clinical trial program for roxadustat, which we believe will be the largest Phase 3 program ever conducted for an anemia product candidate, we are expecting to enroll more than 8,000 patients for our United States (“U.S.”) and European programs alone. We are conducting this Phase 3 program in conjunction with Astellas and AstraZeneca, and we are substantially dependent on Astellas and AstraZeneca for the funding of this large program.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2017 public offerings, our existing cash and cash equivalents, short-term and long-term investments and accounts receivable, and expected third-party collaboration revenues will allow us to fund our operating plans through at least the next 12 months. Our operating plans or third-party collaborations may change as a result of many factors, which are discussed in more detail below,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17"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rate of progress in the development of our product candidates;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development efforts for our product candidates, such as pamrevlumab, that are not subject to reimbursement from our collaboration partners;</w:t>
      </w:r>
    </w:p>
    <w:p>
      <w:pPr>
        <w:spacing w:after="0" w:line="62" w:lineRule="exact"/>
        <w:rPr>
          <w:rFonts w:ascii="Arial" w:cs="Arial" w:eastAsia="Arial" w:hAnsi="Arial"/>
          <w:sz w:val="18"/>
          <w:szCs w:val="18"/>
          <w:color w:val="auto"/>
        </w:rPr>
      </w:pPr>
    </w:p>
    <w:p>
      <w:pPr>
        <w:ind w:left="1040" w:right="80" w:hanging="519"/>
        <w:spacing w:after="0" w:line="308"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costs necessary to obtain regulatory approvals, if any, for our product candidates in the U.S., China and other jurisdictions, and the costs of post-marketing studies that could be required by regulatory authorities in jurisdictions where approval is obtained;</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continuation of our existing collaborations and entry into new collaborations;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time and unreimbursed costs necessary to commercialize products in territories in which our product candidates are approved for sale;</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revenues from any future sales of our products as well as revenue earned from profit share, royalties and milestones;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reimbursement or third-party payor pricing available to our products;</w:t>
      </w:r>
    </w:p>
    <w:p>
      <w:pPr>
        <w:spacing w:after="0" w:line="117"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establishing and maintaining manufacturing operations and obtaining third-party commercial supplies of our products, if any, manufactured in accordance with regulatory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we incur in maintaining domestic and foreign operations, including operations in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compliance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our commercialization efforts for roxadustat for the treatment of anemia caused by CKD in China and Japan;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costs we incur in the filing, prosecution, maintenance and defense of our extensive patent portfolio and other intellectual property rights.</w:t>
      </w:r>
    </w:p>
    <w:p>
      <w:pPr>
        <w:spacing w:after="0" w:line="2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540"/>
        <w:spacing w:after="0" w:line="483" w:lineRule="auto"/>
        <w:rPr>
          <w:sz w:val="20"/>
          <w:szCs w:val="20"/>
          <w:color w:val="auto"/>
        </w:rPr>
      </w:pPr>
      <w:r>
        <w:rPr>
          <w:rFonts w:ascii="Arial" w:cs="Arial" w:eastAsia="Arial" w:hAnsi="Arial"/>
          <w:sz w:val="16"/>
          <w:szCs w:val="16"/>
          <w:b w:val="1"/>
          <w:bCs w:val="1"/>
          <w:i w:val="1"/>
          <w:iCs w:val="1"/>
          <w:color w:val="auto"/>
        </w:rPr>
        <w:t xml:space="preserve">All of our recent revenue has been earned from collaboration partners for our product candidates under development.* </w:t>
      </w:r>
      <w:r>
        <w:rPr>
          <w:rFonts w:ascii="Arial" w:cs="Arial" w:eastAsia="Arial" w:hAnsi="Arial"/>
          <w:sz w:val="16"/>
          <w:szCs w:val="16"/>
          <w:color w:val="auto"/>
        </w:rPr>
        <w:t>Substantially all of our revenues recognized in recent years have been from our collaboration partners.</w:t>
      </w:r>
    </w:p>
    <w:p>
      <w:pPr>
        <w:spacing w:after="0" w:line="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will require substantial additional capital to achieve our development and commercialization goals, which for our lead product, roxadustat, is currently contemplated to be provided under our existing third-party collaborations with Astellas and AstraZeneca.</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If either or both of these collaborations were to be terminated, we could require significant additional capital in order to proceed with development and commercialization of our product candidates, including with respect to our expected commercialization for roxadustat for the treatment of anemia caused by CKD in China and Japan, or we may require additional partnering in order to help fund such development and commercialization. If adequate funds or partners are not available to us on a timely basis or on favorable terms, we may be required to delay, limit, reduce or terminate our research and development efforts or other operations.</w:t>
      </w:r>
    </w:p>
    <w:p>
      <w:pPr>
        <w:spacing w:after="0" w:line="2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are unable to continue to progress our development efforts and achieve milestones under our collaboration agreements, our revenues may decrease and our activities may fail to lead to commercial products.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Substantially all of our revenues to date have been, and a significant portion of our future revenues are expected to be, derived from our existing collaboration agreements. Revenues from research and development collaborations depend upon continuation of the collaborations, reimbursement of development costs, the achievement of milestones and royalties and profits from our product sales, if any, derived from future products developed from our research. If we are unable to successfully advance the development of our product candidates or achieve milestones, revenues under our collaboration agreements will be substantially less than expected.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substantially dependent on the success of our lead product, roxadustat, and our second compound in development, pamrevlumab.*</w:t>
      </w:r>
    </w:p>
    <w:p>
      <w:pPr>
        <w:spacing w:after="0" w:line="1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To date, we have invested a substantial portion of our efforts and financial resources in the research and development of roxadustat and pamrevlumab. While we have received approval of our New Drug Applications (“NDA”) for roxadustat in China for CKD anemia for patients on dialysis and not on dialysis, and for roxadustat in Japan for CKD anemia in dialysis patients, we will need to make substantial additional investments in both the development and commercialization of roxadustat worldwide and in various indications. Our near-term prospects, including maintaining our existing collaborations with Astellas and AstraZeneca, will depend heavily on successful development and commercialization of roxadustat, including obtaining regulatory approvals for the commercialization of roxadustat for anemia associated with CKD in the U.S., Europe, and Japan for non-dialysis patients.</w:t>
      </w:r>
    </w:p>
    <w:p>
      <w:pPr>
        <w:spacing w:after="0" w:line="1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other lead product candidate, pamrevlumab, is currently in clinical development for IPF, pancreatic cancer and DMD. Pamrevlumab requires substantial further development and investment. We do not have a collaboration partner for support of this compound, and, while we have promising open-label safety data and potential signals of efficacy, we would need to complete larger and more extensive controlled clinical trials to validate the results to date in order to continue further development of this product candidate. In addition, although there are many potentially promising indications beyond IPF, pancreatic cancer and DMD, we are still exploring indications for which further development of, and investment for, pamrevlumab may be appropriate. Accordingly, the costs and time to complete development and related risks are currently unknown. Moreover, pamrevlumab is a monoclonal antibody, which may require experience and expertise that we may not currently possess as well as financial resources that are potentially greater than those required for our small molecule lead compound, roxadustat.</w:t>
      </w:r>
    </w:p>
    <w:p>
      <w:pPr>
        <w:spacing w:after="0" w:line="2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clinical and commercial success of roxadustat and pamrevlumab will depend on a number of factors, many of which are beyond our control, and we may be unable to complete the development or commercialization of roxadustat or pamrevlumab.*</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clinical and commercial success of roxadustat and pamrevlumab will depend on a number of factors, including the following:</w:t>
      </w:r>
    </w:p>
    <w:p>
      <w:pPr>
        <w:spacing w:after="0" w:line="117" w:lineRule="exact"/>
        <w:rPr>
          <w:sz w:val="20"/>
          <w:szCs w:val="20"/>
          <w:color w:val="auto"/>
        </w:rPr>
      </w:pPr>
    </w:p>
    <w:p>
      <w:pPr>
        <w:ind w:left="1040" w:right="240" w:hanging="519"/>
        <w:spacing w:after="0" w:line="312"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timely completion of data analyses from our Phase 3 clinical trials for roxadustat, which will depend substantially upon requirements for such trials imposed by the U.S. Food and Drug Administration (“FDA”) and other regulatory agencies and bodies and the continued commitment and coordinated and timely performance by our third-party collaboration partners, AstraZeneca and Astellas;</w:t>
      </w:r>
    </w:p>
    <w:p>
      <w:pPr>
        <w:spacing w:after="0" w:line="38" w:lineRule="exact"/>
        <w:rPr>
          <w:rFonts w:ascii="Arial" w:cs="Arial" w:eastAsia="Arial" w:hAnsi="Arial"/>
          <w:sz w:val="16"/>
          <w:szCs w:val="16"/>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timely initiation and completion of our clinical trials for pamrevlumab, including in IPF, pancreatic cancer and DMD;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demonstrate the safety and efficacy of our product candidates to the satisfaction of the relevant regulatory authorities;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ultimate approval criteria (which may include non-inferiority margins and statistical analyses methods), indications, patient populations, and ultimate benefit-risk analysis used by regulatory authorities in their approval processes;</w:t>
      </w:r>
    </w:p>
    <w:p>
      <w:pPr>
        <w:spacing w:after="0" w:line="62"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we are required by the FDA or other regulatory authorities to conduct additional clinical trials, and the scope and nature of such clinical trials, prior to approval to market our products;</w:t>
      </w:r>
    </w:p>
    <w:p>
      <w:pPr>
        <w:spacing w:after="0" w:line="62"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foreign regulatory authorities, including pricing and reimbursement determinations;</w:t>
      </w:r>
    </w:p>
    <w:p>
      <w:pPr>
        <w:spacing w:after="0" w:line="62"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successfully commercialize our product candidates, if approved, for marketing and sale by the FDA or foreign regulatory authorities, whether alone or in collaboration with others;</w:t>
      </w:r>
    </w:p>
    <w:p>
      <w:pPr>
        <w:spacing w:after="0" w:line="62" w:lineRule="exact"/>
        <w:rPr>
          <w:rFonts w:ascii="Arial" w:cs="Arial" w:eastAsia="Arial" w:hAnsi="Arial"/>
          <w:sz w:val="18"/>
          <w:szCs w:val="18"/>
          <w:color w:val="auto"/>
        </w:rPr>
      </w:pPr>
    </w:p>
    <w:p>
      <w:pPr>
        <w:ind w:left="1040" w:right="180" w:hanging="519"/>
        <w:spacing w:after="0" w:line="342" w:lineRule="auto"/>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ability and the ability of our third-party manufacturing partners to manufacture quantities of our product candidates at quality levels necessary to meet regulatory requirements and at a scale sufficient to meet anticipated demand at a cost that allows us to achieve profitability;</w:t>
      </w:r>
    </w:p>
    <w:p>
      <w:pPr>
        <w:spacing w:after="0" w:line="15" w:lineRule="exact"/>
        <w:rPr>
          <w:rFonts w:ascii="Arial" w:cs="Arial" w:eastAsia="Arial" w:hAnsi="Arial"/>
          <w:sz w:val="16"/>
          <w:szCs w:val="16"/>
          <w:color w:val="auto"/>
        </w:rPr>
      </w:pPr>
    </w:p>
    <w:p>
      <w:pPr>
        <w:ind w:left="1040" w:right="62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success in educating health care providers and patients about the benefits, risks, administration and use of our product candidates, if approved;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acceptance of our product candidates, if approved, as safe and effective by patients and the healthcare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success of efforts to enter into relationships with large dialysis organizations involving the administration of roxadustat to dialysis patients;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achievement and maintenance of compliance with all regulatory requirements applicable to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maintenance of an acceptable safety profile of our products following any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and sustain an adequate level of pricing or reimbursement for our products by third-party payors;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enforce successfully our intellectual property rights for our product candidates and against the products of potential competitors;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avoid or succeed in third-party patent interference or patent infringement claims.</w:t>
      </w:r>
    </w:p>
    <w:p>
      <w:pPr>
        <w:spacing w:after="0" w:line="225"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Many of these factors are beyond our control. Accordingly, we cannot assure you that we will ever be able to achieve profitability through the sale of, or royalties from, our product candidates. If we or our collaboration partners are not successful in obtaining approval for and commercializing our product candidates, or are delayed in completing those efforts, our business and operations would be adversely affected.</w:t>
      </w:r>
    </w:p>
    <w:p>
      <w:pPr>
        <w:spacing w:after="0" w:line="2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our commercialization efforts for roxadustat in China are unsuccessful, our business, financial condition and results of operations will be materially harmed.*</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invested and continue to invest a significant portion of our efforts and financial resources in the development, approval and now commercialization of roxadustat for the treatment of anemia caused by CKD in in China, as well as in other indications and other geographic regions. With the marketing authorization received from the National Medical Products Administration (“NMPA”) for roxadustat for the treatment of anemia caused by CKD in patients on dialysis and not on dialysis in China, we plan to launch commercialization efforts in China in the third quarter of 2019 with our commercialization partner AstraZeneca.</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Our success of commercialization of roxadustat in China will depend on numerous factors in China, including:</w:t>
      </w:r>
    </w:p>
    <w:p>
      <w:pPr>
        <w:spacing w:after="0" w:line="117"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success in the marketing, sales, and distribution of the product along with our collaboration partner AstraZeneca;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success in negotiating a cost-effective reimbursed price with the government in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acceptance of roxadustat by state-owned and state-controlled hospitals, physicians, patients and the healthcare community;</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acceptance of pricing and placement of roxadustat on China’s Medical Insurance Catalogs. Refer to “</w:t>
      </w:r>
      <w:r>
        <w:rPr>
          <w:rFonts w:ascii="Arial" w:cs="Arial" w:eastAsia="Arial" w:hAnsi="Arial"/>
          <w:sz w:val="18"/>
          <w:szCs w:val="18"/>
          <w:i w:val="1"/>
          <w:iCs w:val="1"/>
          <w:color w:val="auto"/>
        </w:rPr>
        <w:t>Business – Government Regulation –</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 in China</w:t>
      </w:r>
      <w:r>
        <w:rPr>
          <w:rFonts w:ascii="Arial" w:cs="Arial" w:eastAsia="Arial" w:hAnsi="Arial"/>
          <w:sz w:val="18"/>
          <w:szCs w:val="18"/>
          <w:color w:val="auto"/>
        </w:rPr>
        <w:t>” in our annual report on Form 10-K for the year ended December 31, 2018;</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successfully establishing and maintaining commercial manufacturing with third parties;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40" w:right="4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successfully manufacturing our drug substances and drug products through our subsidiary FibroGen (China) Medical Technology Development Co., Ltd. (“FibroGen Beijing”);</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success in arranging for and passing the inspection of our clinical sites by the NMPA;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whether AstraZeneca is able to recruit and retain adequate numbers of effective sales and marketing personnel for the sale of roxadustat;</w:t>
      </w:r>
    </w:p>
    <w:p>
      <w:pPr>
        <w:spacing w:after="0" w:line="128" w:lineRule="exact"/>
        <w:rPr>
          <w:rFonts w:ascii="Arial" w:cs="Arial" w:eastAsia="Arial" w:hAnsi="Arial"/>
          <w:sz w:val="17"/>
          <w:szCs w:val="17"/>
          <w:color w:val="auto"/>
        </w:rPr>
      </w:pPr>
    </w:p>
    <w:p>
      <w:pPr>
        <w:ind w:left="1040" w:right="12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we can compete successfully as a new entrant in the treatment of anemia caused by CKD in dialysis patients and non-dialysis patients in China; and</w:t>
      </w:r>
    </w:p>
    <w:p>
      <w:pPr>
        <w:spacing w:after="0" w:line="62"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we will maintain sufficient funding to cover the costs and expenses associated with creating and sustaining a capable sales and marketing organization and related commercial infrastructure.</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Successful commercialization of roxadustat will require significant resources and time, and there is a risk that we may not successfully commercialize roxadustat. If we do not achieve one or more of these factors in a timely manner or at all, we could experience significant delays or an inability to successfully commercialize roxadustat and generate revenues, which would deprive us from additional working capital and would materially harm our business. If we do not successfully commercialize roxadustat in China, our collaboration partners and third parties may also lose confidence in our ability to execute in commercialization efforts and become less likely to collaborate with us, and our business may be harmed.</w:t>
      </w:r>
    </w:p>
    <w:p>
      <w:pPr>
        <w:spacing w:after="0" w:line="28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As a company, we have no commercialization experience, and the time and resources to develop such experience are significant. If we fail to achieve and sustain commercial success for roxadustat in China, either directly or with AstraZeneca, our business would be harmed.*</w:t>
      </w:r>
    </w:p>
    <w:p>
      <w:pPr>
        <w:spacing w:after="0" w:line="3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Commercializing roxadustat in China with AstraZeneca will require us to establish commercialization systems, including but not limited to, medical affairs, sales, pharmacovigilance, supply-chain, and distribution capabilities to perform our portion of the collaborative efforts. These efforts will require resources and time. In particular, significant resources may be necessary to successfully market, sell and distribute roxadustat to patients with anemia caused by CKD in dialysis patients and non-dialysis patients. If we, along with AstraZeneca, are not successful in setting our marketing, pricing and reimbursement strategy, facilitating adoption by hospitals in China, recruiting sales and marketing personnel or in building a sales and marketing infrastructure, we will have difficulty commercializing roxadustat, which would adversely affect our business and financial condition.</w:t>
      </w:r>
    </w:p>
    <w:p>
      <w:pPr>
        <w:spacing w:after="0" w:line="2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As we evolve from a company primarily involved in research and development to a company potentially involved in commercialization, we may encounter difficulties in managing our growth and expanding our operations successfully.</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we are successful in advancing roxadustat and our other product candidates through the development stage towards commercialization, we will need to expand our organization, including adding marketing and sales capabilities or continuing to contract with third parties to provide these capabilities for us. As our operations expand, we expect that we will also need to manage our existing and additional relationships with various collaborative partners, suppliers and other third parties. Future growth will impose significant added responsibilities on our organization, in particular on management. Our future financial performance and our ability to commercialize roxadustat and our other product candidates and to compete effectively will depend, in part, on our ability to manage any future growth effectively. To that end, we may not be able to manage our growth efforts effectively, and hire, train and integrate additional management, administrative and sales and marketing personnel, and our failure to accomplish any of these activities could prevent us from successfully growing our Company.</w:t>
      </w:r>
    </w:p>
    <w:p>
      <w:pPr>
        <w:spacing w:after="0" w:line="300" w:lineRule="exact"/>
        <w:rPr>
          <w:sz w:val="20"/>
          <w:szCs w:val="20"/>
          <w:color w:val="auto"/>
        </w:rPr>
      </w:pPr>
    </w:p>
    <w:p>
      <w:pPr>
        <w:ind w:right="380"/>
        <w:spacing w:after="0" w:line="375" w:lineRule="auto"/>
        <w:rPr>
          <w:sz w:val="20"/>
          <w:szCs w:val="20"/>
          <w:color w:val="auto"/>
        </w:rPr>
      </w:pPr>
      <w:r>
        <w:rPr>
          <w:rFonts w:ascii="Arial" w:cs="Arial" w:eastAsia="Arial" w:hAnsi="Arial"/>
          <w:sz w:val="15"/>
          <w:szCs w:val="15"/>
          <w:b w:val="1"/>
          <w:bCs w:val="1"/>
          <w:i w:val="1"/>
          <w:iCs w:val="1"/>
          <w:color w:val="auto"/>
        </w:rPr>
        <w:t>Although regulatory approval has been obtained for roxadustat in China and Japan, we may be unable to obtain regulatory approval for our product candidates in other countries, or such approval may be delayed or limited, due to a number of factors, many of which are beyond our control.*</w:t>
      </w:r>
    </w:p>
    <w:p>
      <w:pPr>
        <w:spacing w:after="0" w:line="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clinical trials and the manufacturing of our product candidates are and will continue to be, and the marketing of our product candidates will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regulatory review and approval process is expensive and requires substantial resources and time, and in general very few product candidates that enter development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roxadustat or pamrevlumab or any of our other product candidates.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Even though regulatory approval has been obtained for roxadustat in China and Japan, we have not obtained regulatory approval for any of our product candidates in other countries and it is possible that roxadustat and pamrevlumab will never receive regulatory approval in other countries. Other regulatory authorities may take actions or impose requirements that delay, limit or deny approval of roxadustat or pamrevlumab for many reasons, including, among others:</w:t>
      </w:r>
    </w:p>
    <w:p>
      <w:pPr>
        <w:spacing w:after="0" w:line="79" w:lineRule="exact"/>
        <w:rPr>
          <w:sz w:val="20"/>
          <w:szCs w:val="20"/>
          <w:color w:val="auto"/>
        </w:rPr>
      </w:pPr>
    </w:p>
    <w:p>
      <w:pPr>
        <w:ind w:left="1040" w:right="4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to adequately demonstrate to the satisfaction of regulatory authorities that roxadustat is safe and effective in treating anemia in CKD or that pamrevlumab is safe and effective in treating IPF, pancreatic cancer or DMD;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determination by regulatory authorities that additional clinical trials are necessary to demonstrate the safety and efficacy of roxadustat or pamrevlumab, or that ongoing clinical trials need to be modified in design, size, conduct or implementation;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product candidates may exhibit an unacceptable safety signal as they advance through clinical trials, in particular controlled Phase 3 trials;</w:t>
      </w:r>
    </w:p>
    <w:p>
      <w:pPr>
        <w:spacing w:after="0" w:line="140" w:lineRule="exact"/>
        <w:rPr>
          <w:rFonts w:ascii="Arial" w:cs="Arial" w:eastAsia="Arial" w:hAnsi="Arial"/>
          <w:sz w:val="16"/>
          <w:szCs w:val="16"/>
          <w:color w:val="auto"/>
        </w:rPr>
      </w:pPr>
    </w:p>
    <w:p>
      <w:pPr>
        <w:ind w:left="1040" w:right="30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clinical research organizations (“CROs”) that conduct clinical trials on our behalf may take actions outside of our control that materially adversely impact our clinical trials;</w:t>
      </w:r>
    </w:p>
    <w:p>
      <w:pPr>
        <w:spacing w:after="0" w:line="62"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third-party contractors manufacturing our product candidates may not maintain current good manufacturing practices (“cGMP”), successfully pass inspection or meet other applicable manufacturing regulatory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not agree with our interpretation of the data from our preclinical trials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collaboration partners may not perform or complete their clinical programs in a timely manner, or at all; or</w:t>
      </w:r>
    </w:p>
    <w:p>
      <w:pPr>
        <w:spacing w:after="0" w:line="117" w:lineRule="exact"/>
        <w:rPr>
          <w:rFonts w:ascii="Arial" w:cs="Arial" w:eastAsia="Arial" w:hAnsi="Arial"/>
          <w:sz w:val="18"/>
          <w:szCs w:val="18"/>
          <w:color w:val="auto"/>
        </w:rPr>
      </w:pPr>
    </w:p>
    <w:p>
      <w:pPr>
        <w:ind w:left="1040" w:right="260" w:hanging="519"/>
        <w:spacing w:after="0" w:line="308"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principal investigators may determine that one or more serious adverse events (“SAEs”), is related or possibly related to roxadustat, and any such determination may adversely affect our ability to obtain regulatory approval, whether or not the determination is correct.</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Any of these factors, many of which are beyond our control, could jeopardize our or our collaboration partners’ abilities to obtain regulatory approval for and successfully market roxadustat. Because our business and operations in the near-term are almost entirely dependent upon roxadustat, any significant delays or impediments to regulatory approval could have a material adverse effect on our business and prospects.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China, the NMPA required that FibroGen Beijing conduct three clinical studies as a post-approval commitment: (i) a post-approval safety study in 2,000 patients; (ii) a drug-intensive monitoring study in 1,000 patients; and (iii) a dosing optimization study in approximately 300 patients on dialysis. Furthermore, in the U.S., we also expect to be required to perform additional clinical trials in order to obtain approval or as a condition to maintaining approval due to post-marketing requirements. If the FDA requires a risk evaluation and mitigation strategy (“REMS”), for any of our product candidates if approved, the substantial cost and expense of complying with a REMS or other post-marketing requirements may limit our ability to successfully commercialize our product candidates.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Preclinical, Phase 1 and Phase 2 clinical trial results may not be indicative of the results that may be obtained in larger, controlled Phase 3 clinical trials required for approval.*</w:t>
      </w:r>
    </w:p>
    <w:p>
      <w:pPr>
        <w:spacing w:after="0" w:line="6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early or small clinical trials may not be replicated or show as favorable an outcome, even if successful.</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have conducted a limited number of Phase 2 clinical trials with pamrevlumab. We have conducted a randomized placebo-controlled study in 103 IPF patients with sub-studies in an additional 57 IPF patients comparing pamrevlumab to one of two standards of care, an open-label Phase 2 dose escalation study of pamrevlumab for IPF in 89 patients and a randomized double-blind placebo controlled study for liver fibrosis in subjects with hepatitis B, we are currently conducting an open-label randomized, active-control, neoadjuvant Phase 2 trial in pancreatic cancer combining pamrevlumab with nab-paclitaxel plus gemcitabine in 37 patients, and we are currently in a Phase 2 open-label trial of pamrevlumab for DMD in 21 non-ambulatory patients. We cannot be sure that the results we have received to date from these trials will be substantiated in larger, well-controlled Phase 3 clinical trials, that larger trials will demonstrate the safety and efficacy of pamrevlumab for these or other indications, that further studies will provide benefits over existing approved products or that new safety issues will not be uncovered in further trials. In addition, while we believe that the limited animal and human studies conducted to date suggest that pamrevlumab has the potential to arrest or reverse fibrosis and reduce tumor mass in some patients or diseases, we cannot be sure that these results will be indicative of the effects of pamrevlumab in larger human trials. In addition, the IPF and pancreatic cancer patient populations are extremely ill and routinely experience SAEs, including death, which may be attributed to pamrevlumab in a manner that negatively impacts the safety profile of our product candidate. If the additional clinical trials that we are planning or are currently conducting for pamrevlumab do not show favorable efficacy results or result in safety concerns, or if we do not meet our clinical endpoints with statistical significance, or demonstrate an acceptable risk-benefit profile, we may be prevented from or delayed in obtaining regulatory approval for pamrevlumab in one or both of these indications.</w:t>
      </w:r>
    </w:p>
    <w:p>
      <w:pPr>
        <w:spacing w:after="0" w:line="17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the past we developed an earlier generation product candidate aimed at treating anemia in CKD that resulted in a clinical hold for a safety signal seen in that product in Phase 2 clinical trials. The clinical hold applied to that product candidate and roxadustat was lifted for both product candidates after submission of the requested information to the FDA. While we have not seen similar safety concerns involving roxadustat to date, some of the safety concerns associated with the treatment of patients with anemia in CKD using erythropoiesis stimulating agents (“ESAs”) did not emerge for many years until placebo-controlled studies had been conducted in large numbers of patients. And while the data monitoring committee for our U.S. and Europe Phase 3 anemia trials has consistently determined that our trials should continue without modification to the protocol, safety issues may still be discovered upon review of unblinded major adverse cardiac event (“MACE”) or other data. The biochemical pathways that we believe are affected by roxadustat are implicated in a variety of biological processes and disease conditions, and it is possible that the use of roxadustat to treat larger numbers of patients will demonstrate unanticipated adverse effects, including possible drug interactions, which may negatively impact the safety profile, use and market acceptance of roxadustat. We studied the potential interaction between roxadustat and three statins (atorvastatin, rosuvastatin and simvastatin), which are used to lower levels of lipids in the blood. An adverse effect associated with increased statin plasma concentration is myopathy, which typically presents in a form of myalgia. The studies indicated the potential for increased exposure to those statins when roxadustat is taken simultaneously with those statins and suggested the need for statin dose reductions for patients receiving higher statin doses. We performed additional clinical pharmacology studies to evaluate if the effect of any such interaction could be minimized or eliminated by a modification of the dosing schedule that would separate the administration of roxadustat and the statin by up to 10 hours, however, such studies showed no minimization of effect. It is possible that the potential for interaction between roxadustat and statins could lead to label provisions for statins or roxadustat relating, for example, to dose scheduling or recommended statin dose limitations. In CKD patients, statin therapy is often initiated earlier than treatment for anemia, and risks of myopathy have been shown to decrease with increased time on drug. While we believe the prior statin treatment history of such patients at established doses may reduce the risk of adverse effects from any interaction with roxadustat and facilitate any appropriate dose adjustments, we cannot be sure that this will be the case.</w:t>
      </w:r>
    </w:p>
    <w:p>
      <w:pPr>
        <w:spacing w:after="0" w:line="3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Phase 3 trials include a MACE safety endpoint, which is a composite endpoint designed to identify major safety concerns, in particular relating to cardiovascular events such as cardiovascular death, myocardial infarction and stroke. The European Medicines Agency (“EMA”) is requiring MACE+ as a safety endpoint which, in addition to the MACE components, incorporates measurements of hospitalization rates due to heart failure or unstable angina. The EMA will also review MACE results. The FDA has also informed us that the MACE endpoint will need to be evaluated separately for our Phase 3 trials in non-dialysis-dependent (“NDD”)-CKD patients and our Phase 3 trials in dialysis-dependent (“DD”)-CKD patients. The MACE endpoint is being evaluated in pooled analysis across Phase 3 studies of similar study populations and requires demonstration of non-inferiority relative to comparator, which means that the MACE event rate in roxadustat-treated patients must have less than a specified probability of exceeding the rate in the comparator trial by a specified hazard ratio.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number of patients necessary in order to permit a statistical analysis with adequate ability to detect the relative risk of MACE or MACE+ events in different arms of the trial, referred to as statistical power, depends on a number of factors, including the rate at which MACE or MACE+ events occur per patient-year in the trial, treatment duration of the patients, the achieved hazard ratios, the rates of discontinuation, and the required statistical power and confidence intervals.</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we cannot be sure that the potential advantages we believe roxadustat may have for treatment of patients with anemia in CKD, as compared to the use of ESAs, will be substantiated by our larger U.S. and European Phase 3 clinical trials, or that we will be able to include a discussion of such advantages in our labeling should we obtain approval. We believe that roxadustat may have certain benefits as compared to ESAs based on the data from our Phase 2 clinical trials and China Phase 3 trials conducted to date, including safety benefits, the absence of a hypertensive effect, the potential to lower cholesterol levels and the potential to correct anemia without the use of IV iron. However, our belief that roxadustat may offer those benefits is based on a limited amount of data from our clinical trials to date, and our understanding of the likely mechanisms of action for roxadustat. Some of these benefits, such as those associated with the apparent effects on blood pressure and cholesterol, are not fully understood and, even if roxadustat receives marketing approval in additional countries beyond China and Japan, we do not expect that it will be approved for the treatment of high blood pressure or high cholesterol based on the data from our Phase 3 trials, and we may not be able to refer to any such benefits in the labeling. While the data from our Phase 2 trials suggests roxadustat may reduce low-density lipoprotein (“LDL”), and reduce the ratio of LDL to high-density lipoprotein (“HDL”), the data show it may also reduce HDL, which may be a risk to patients. In addition, causes of the safety concerns associated with the use of ESAs to achieve specified target hemoglobin levels have not been fully elucidated. While we believe that the issues giving rise to these concerns with ESAs are likely due to factors other than the hemoglobin levels achieved, we cannot be certain that roxadustat will not be associated with similar, or more severe, safety concerns.</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after achieving positive results in early-stage development, and we may face similar setbacks. In addition, the CKD patient population has many afflictions that may cause severe illness or death, which may be attributed to roxadustat in a manner that negatively impacts the safety profile of our product candidate. The results of our completed Phase 3 clinical trials for roxadustat demonstrated efficacy, as all primary efficacy endpoints were met with statistical significance. While we have reported topline cardiovascular safety results, the analysis of these data is ongoing; there may be unanticipated safety concerns or adverse events that prevent from or delay obtaining marketing approval for roxadustat in additional countries beyond China and Japan, and even if we obtain marketing approval, any sales of roxadustat may suffer.</w:t>
      </w:r>
    </w:p>
    <w:p>
      <w:pPr>
        <w:spacing w:after="0" w:line="2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do not know whether our ongoing or planned clinical trials of roxadustat or pamrevlumab will need to be redesigned based on interim results, be able to achieve sufficient enrollment or be completed on schedule, if at all.*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terminated for a variety of reasons, including delay or failure to:</w:t>
      </w:r>
    </w:p>
    <w:p>
      <w:pPr>
        <w:spacing w:after="0" w:line="117"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address any physician or patient safety concerns that arise during the course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required regulatory or institutional review board (“IRB”) approval or guidance;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reach timely agreement on acceptable terms with prospective CROs and clinical trial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 clinical sites in compliance with clinical trial protocols;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manufacture sufficient quantities of product candidate for use in clinical trials.</w:t>
      </w:r>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addition, we could encounter delays if a clinical trial is suspended or terminated by us, by the relevant IRBs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and operations and prospects.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6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Adverse events and SAEs that emerge during treatment with our product candidates or other compounds acting through similar biological pathways may be deemed to be related to our product candidate and may result in:</w:t>
      </w:r>
    </w:p>
    <w:p>
      <w:pPr>
        <w:spacing w:after="0" w:line="50"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Phase 3 clinical trial development plan becoming longer and more extensive;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regulatory authorities increasing the data and information required to approve our product candidates and imposing other requirements;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collaboration partners terminating our existing agreements.</w:t>
      </w:r>
    </w:p>
    <w:p>
      <w:pPr>
        <w:spacing w:after="0" w:line="225"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occurrence of any or all of these events may cause the development of our product candidates to be delayed or terminated, which could materially and adversely affect our business and prospects. Refer to “</w:t>
      </w:r>
      <w:r>
        <w:rPr>
          <w:rFonts w:ascii="Arial" w:cs="Arial" w:eastAsia="Arial" w:hAnsi="Arial"/>
          <w:sz w:val="16"/>
          <w:szCs w:val="16"/>
          <w:i w:val="1"/>
          <w:iCs w:val="1"/>
          <w:color w:val="auto"/>
        </w:rPr>
        <w:t>Business — Our Development Program for Roxadustat</w:t>
      </w:r>
      <w:r>
        <w:rPr>
          <w:rFonts w:ascii="Arial" w:cs="Arial" w:eastAsia="Arial" w:hAnsi="Arial"/>
          <w:sz w:val="16"/>
          <w:szCs w:val="16"/>
          <w:color w:val="auto"/>
        </w:rPr>
        <w:t>” and “</w:t>
      </w:r>
      <w:r>
        <w:rPr>
          <w:rFonts w:ascii="Arial" w:cs="Arial" w:eastAsia="Arial" w:hAnsi="Arial"/>
          <w:sz w:val="16"/>
          <w:szCs w:val="16"/>
          <w:i w:val="1"/>
          <w:iCs w:val="1"/>
          <w:color w:val="auto"/>
        </w:rPr>
        <w:t>Business — Pamrevlumab for the</w:t>
      </w:r>
      <w:r>
        <w:rPr>
          <w:rFonts w:ascii="Arial" w:cs="Arial" w:eastAsia="Arial" w:hAnsi="Arial"/>
          <w:sz w:val="16"/>
          <w:szCs w:val="16"/>
          <w:color w:val="auto"/>
        </w:rPr>
        <w:t xml:space="preserve"> </w:t>
      </w:r>
      <w:r>
        <w:rPr>
          <w:rFonts w:ascii="Arial" w:cs="Arial" w:eastAsia="Arial" w:hAnsi="Arial"/>
          <w:sz w:val="16"/>
          <w:szCs w:val="16"/>
          <w:i w:val="1"/>
          <w:iCs w:val="1"/>
          <w:color w:val="auto"/>
        </w:rPr>
        <w:t>Treatment of Fibrosis and Cancer</w:t>
      </w:r>
      <w:r>
        <w:rPr>
          <w:rFonts w:ascii="Arial" w:cs="Arial" w:eastAsia="Arial" w:hAnsi="Arial"/>
          <w:sz w:val="16"/>
          <w:szCs w:val="16"/>
          <w:color w:val="auto"/>
        </w:rPr>
        <w:t>” for a discussion of the adverse events and SAEs that have emerged in clinical trials of roxadustat and pamrevlumab.</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of our product candidates may not uncover all possible adverse effects that patients may experience.</w:t>
      </w:r>
    </w:p>
    <w:p>
      <w:pPr>
        <w:spacing w:after="0" w:line="11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There have been other products, including ESAs, for which safety concerns have been uncovered following approval by regulatory authorities. Such safety concerns have led to labeling changes or withdrawal of ESAs products from the market. While our most advanced product candidate is chemically unique from ESAs, it or any of our product candidates may be subject to similar risks. For example, roxadustat for use in anemia in CKD is being developed to address a very diverse patient population expected to have many serious health conditions at the time of administration of roxadustat, including diabetes, high blood pressure and declining kidney function.</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fail to enroll a sufficient number of patients in our clinical trials in a timely manner, which could delay or prevent clinical trials of our product candidates.</w:t>
      </w:r>
    </w:p>
    <w:p>
      <w:pPr>
        <w:spacing w:after="0" w:line="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w:t>
      </w:r>
    </w:p>
    <w:p>
      <w:pPr>
        <w:spacing w:after="0" w:line="73"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ongoing clinical trials of competitive agents;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40" w:right="28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physicians’ and patients’ perceptions of the potential advantages of our product candidates being studied in relation to available therapies or other products under development;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CRO’s and our trial sites’ efforts to facilitate timely enrollment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ability to monitor patients and collect patient data adequately during and after treatment.</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Patients may be unwilling to participate in our clinical trials for roxadustat due to adverse events observed in other drug treatments of anemia, and patients currently controlling their disease with existing ESAs may be reluctant to participate in a clinical trial with an investigational drug. We may not be able to successfully initiate or continue clinical trials if we cannot rapidly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could have a material and adverse effect on our business and prospects.</w:t>
      </w:r>
    </w:p>
    <w:p>
      <w:pPr>
        <w:spacing w:after="0" w:line="266"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If we or third-party manufacturers and other service providers on which we rely cannot manufacture sufficient quantities of our product candidates, or at sufficient quality, or perform other services we require, we may experience delays in development, regulatory approval, launch or commercialization.</w:t>
      </w:r>
    </w:p>
    <w:p>
      <w:pPr>
        <w:spacing w:after="0" w:line="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Completion of our clinical trials and commercialization of our product candidates require access to, or development of, facilities to manufacture and manage our product candidates at sufficient yields and at commercial scale. Although we have entered into commercial supply agreements for the manufacture of some of our raw materials, we have not yet entered into commercial supply agreements with all of our third-party manufacturers. We are continuing to negotiate and expect to enter into commercial supply agreements and other supply management agreements with third-party manufacturers, but we may not be able to enter into these agreements with satisfactory terms or on a timely manner.</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limited experience manufacturing or managing third parties in manufacturing any of our product candidates in the volumes that are expected to be necessary to support large-scale clinical trials and sales. In addition, we have limited experience forecasting supply requirements or coordinating supply chain (including export management) for launch or commercialization, which is a complex process involving our third-party manufacturers and logistics providers, and for roxadustat, our collaboration partners. We may not be able to accurately forecast supplies for commercial launch, or do so in a timely manner and our efforts to establish these manufacturing and supply chain management capabilities may not meet our requirements as to quantities, scale-up, yield, cost, potency or quality in compliance with cGMP.</w:t>
      </w:r>
    </w:p>
    <w:p>
      <w:pPr>
        <w:spacing w:after="0" w:line="19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have a limited amount of roxadustat and pamrevlumab in storage, limited capacity reserved at our third-party manufacturers, and there are long lead times required to manufacture and scale-up the manufacture of additional supply, as required for both late-stage clinical trials, post-approval trials, and commercial supply. If we are unable to forecast, order or manufacture sufficient quantities of roxadustat or pamrevlumab on a timely basis, it may delay our development, launch or commercialization in some or all indications we are currently pursuing. For example, prior to agreement with regulatory authorities on the scope of our Phase 3 IPF trial design, there is uncertainty as to whether our supply plans will meet our clinical requirements in a timely manner. Any delay or interruption in the supply of our product candidates or products could have a material adverse effect on our business and operations.</w:t>
      </w:r>
    </w:p>
    <w:p>
      <w:pPr>
        <w:spacing w:after="0" w:line="16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clinical trials must be conducted with product produced under applicable cGMP regulations. Failure to comply with these regulations may require us to repeat clinical trials, which would delay the regulatory approval process. We, and even an experienced third-party manufacturer, may encounter difficulties in production. Difficulties may include:</w:t>
      </w:r>
    </w:p>
    <w:p>
      <w:pPr>
        <w:spacing w:after="0" w:line="73" w:lineRule="exact"/>
        <w:rPr>
          <w:sz w:val="20"/>
          <w:szCs w:val="20"/>
          <w:color w:val="auto"/>
        </w:rPr>
      </w:pPr>
    </w:p>
    <w:p>
      <w:pPr>
        <w:ind w:left="1040" w:right="74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and challenges associated with scale-up and attaining sufficient manufacturing yields, in particular for biologic products such as pamrevlumab, which is a monoclonal antibody;</w:t>
      </w:r>
    </w:p>
    <w:p>
      <w:pPr>
        <w:spacing w:after="0" w:line="62"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supply chain issues, including coordination of multiple contractors in our supply chain and securing necessary licenses (such as export licenses);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timely availability and shelf life requirements of raw materials and supplies;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quality control and quality assurance;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shortages of qualified personnel and capital required to manufacture large quantities of product;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compliance with regulatory requirements that vary in each country where a product might be sold;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capacity or forecasting limitations and scheduling availability in contracted facilities; and</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natural disasters, such as floods, storms, earthquakes, tsunamis, and droughts, or accidents such as fire, that affect facilities, possibly limit or postpone production, and increase costs.</w:t>
      </w:r>
    </w:p>
    <w:p>
      <w:pPr>
        <w:spacing w:after="0" w:line="279"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The FDA and EMA will do their own benefit risk analysis and may reach a different conclusion than we or our partners have internally, and these regulatory authorities may base their approval decision on different analyses, data, and statistical methods than ours.*</w:t>
      </w:r>
    </w:p>
    <w:p>
      <w:pPr>
        <w:spacing w:after="0" w:line="3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Even if we believe we have achieved certain results based on a totality of the evidence, such as superiority or non-inferiority, in certain endpoints, populations or subpopulations, or using certain statistical methods of analysis, the FDA and EMA will each conduct their own benefit-risk analysis and may reach different conclusions, using different statistical methods, different endpoints or definitions thereof, or different patient populations or sub-populations, and regulatory authorities may change their approvability criteria based on their internal analyses and discussions with expert advisors. Regulatory authorities may approve roxadustat for fewer or more limited indications than we request or may grant approval contingent on the performance of costly post-approval clinical trials. While we will present to regulatory authorities certain pre-specified and not pre-specified sub-populations and sub-group analyses (for example, incident dialysis), multiple secondary endpoints, and multiple analytical methods (such as long-term follow up analyses), including adjusted and censored data, regulatory authorities may reject these analyses, methods, or even parts of our trial design or certain data from our studies, the rationale for our pre-specified non-inferiority margins or other portions of our statistical analysis plans. In addition, even if we are able to provide positive data with respect to certain analyses, such as incident dialysis, estimated glomerular filtration rate, hepcidin, or quality of life measures, regulatory authorities may not include such claims on any approved labeling for roxadustat, which may limit the commercialization or market opportunity for roxadustat. Further, initial topline results reported for certain studies (such as reduction of transfusion risk or hemoglobin response in the presence of inflammation), may not be representative of the data seen in all studies or may not be sustained upon further analyses or after more wide-spread use upon commercialization. The failure to obtain regulatory approval, or any label, population or other approval limitations in any jurisdiction, may significantly limit our ability to generate revenues, and any failure to obtain such approval for all of the indications and labeling claims we deem desirable could reduce our potential revenue.</w:t>
      </w:r>
    </w:p>
    <w:p>
      <w:pPr>
        <w:spacing w:after="0" w:line="27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Positive topline results from our Phase 3 clinical trials assessing the safety and efficacy of roxadustat may not be indicative of additional results or results for roxadustat in other indications.*</w:t>
      </w:r>
    </w:p>
    <w:p>
      <w:pPr>
        <w:spacing w:after="0" w:line="6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There are multiple key and secondary endpoints as well as sub-group analyses in both dialysis and non-dialysis in the U.S. and multiple secondary endpoints in addition to MACE+ as well as sub-group analyses in dialysis and non-dialysis in Europe. We continue to analyze these additional endpoints from the Phase 3 clinical trials of roxadustat in anemia of CKD, as well as from the pooled analyses, some of which may have a bearing on the safety or efficacy of roxadustat. The topline results we have reported thus far may not be indicative of these additional results. In addition, results in these CKD-anemia indications may not be indicative of our clinical trials in other indications or the safety, efficacy, or approvability of roxadustat in other indications. If these topline results are not indicative of additional results or results in other indications, our potential revenue may be reduced.</w:t>
      </w:r>
    </w:p>
    <w:p>
      <w:pPr>
        <w:spacing w:after="0" w:line="2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6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With respect to roxadustat, regulatory approvals obtained outside of China and Japan, could limit the approved indicated uses for which roxadustat may be marketed. For example, ESAs have been subject to significant safety warnings, including the “Black Box” warnings on their labels. Refer to “</w:t>
      </w:r>
      <w:r>
        <w:rPr>
          <w:rFonts w:ascii="Arial" w:cs="Arial" w:eastAsia="Arial" w:hAnsi="Arial"/>
          <w:sz w:val="16"/>
          <w:szCs w:val="16"/>
          <w:i w:val="1"/>
          <w:iCs w:val="1"/>
          <w:color w:val="auto"/>
        </w:rPr>
        <w:t>Business —</w:t>
      </w:r>
      <w:r>
        <w:rPr>
          <w:rFonts w:ascii="Arial" w:cs="Arial" w:eastAsia="Arial" w:hAnsi="Arial"/>
          <w:sz w:val="16"/>
          <w:szCs w:val="16"/>
          <w:color w:val="auto"/>
        </w:rPr>
        <w:t xml:space="preserve"> </w:t>
      </w:r>
      <w:r>
        <w:rPr>
          <w:rFonts w:ascii="Arial" w:cs="Arial" w:eastAsia="Arial" w:hAnsi="Arial"/>
          <w:sz w:val="16"/>
          <w:szCs w:val="16"/>
          <w:i w:val="1"/>
          <w:iCs w:val="1"/>
          <w:color w:val="auto"/>
        </w:rPr>
        <w:t>Roxadustat for the Treatment of Anemia in Chronic Kidney Disease — Limitations of the Current Standard of Care for Anemia in CKD</w:t>
      </w:r>
      <w:r>
        <w:rPr>
          <w:rFonts w:ascii="Arial" w:cs="Arial" w:eastAsia="Arial" w:hAnsi="Arial"/>
          <w:sz w:val="16"/>
          <w:szCs w:val="16"/>
          <w:color w:val="auto"/>
        </w:rPr>
        <w:t>” in our annual report</w:t>
      </w:r>
      <w:r>
        <w:rPr>
          <w:rFonts w:ascii="Arial" w:cs="Arial" w:eastAsia="Arial" w:hAnsi="Arial"/>
          <w:sz w:val="16"/>
          <w:szCs w:val="16"/>
          <w:i w:val="1"/>
          <w:iCs w:val="1"/>
          <w:color w:val="auto"/>
        </w:rPr>
        <w:t xml:space="preserve"> </w:t>
      </w:r>
      <w:r>
        <w:rPr>
          <w:rFonts w:ascii="Arial" w:cs="Arial" w:eastAsia="Arial" w:hAnsi="Arial"/>
          <w:sz w:val="16"/>
          <w:szCs w:val="16"/>
          <w:color w:val="auto"/>
        </w:rPr>
        <w:t>on Form 10-K for the year ended December 31, 2018. In addition, in the past, an approved ESA was voluntarily withdrawn due to serious safety issues discovered after approval. The safety concerns relating to ESAs may result in labeling for roxadustat containing similar warnings even if our Phase 3 clinical trials do not suggest that roxadustat has similar safety issues. Even if the label for roxadustat does not contain all of the warnings contained in the “Black Box” warning for ESAs, the label for roxadustat may contain other warnings or limit the market opportunity or approved indications for roxadustat. These warnings could include warnings against exceeding specified hemoglobin targets and other warnings that derive from the lack of clarity regarding the safety issues associated with ESAs, even if our Phase 3 clinical trials do not themselves raise safety concerns.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As an organization, we have not successfully commercialized any drug product. Therefore, we may not be able to efficiently execute our development and commercialization plans.*</w:t>
      </w:r>
    </w:p>
    <w:p>
      <w:pPr>
        <w:spacing w:after="0" w:line="6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are currently conducting Phase 3 clinical trials for pamrevlumab and roxadustat. The conduct of Phase 3 clinical trials and the submission of a successful NDA is a complicated process. As an organization, we have limited experience in preparing, submitting and prosecuting regulatory filings, and have not received approval for an NDA outside of China, where we received marketing authorization from the NMPA for the treatment of anemia caused by CKD in dialysis patients and non-dialysis patients, and Japan, where the Ministry of Health, Labour and Welfare approved roxadustat for the treatment of CKD in dialysis patients. Consequently, we may be unable to successfully and efficiently execute and complete necessary clinical trials and regulatory submissions in other countries or for any other product candidate we are developing, even if our earlier stage clinical trials are successful. We may require more time and incur greater costs than our competitors and may not succeed in obtaining regulatory approvals of product candidates that we develop. Failure to commence or complete, or delays in, our planned clinical trials would prevent us from or delay us in commercializing product candidates we are developing.</w:t>
      </w:r>
    </w:p>
    <w:p>
      <w:pPr>
        <w:spacing w:after="0" w:line="16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addition, in order for any Phase 3 clinical trial to support an NDA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CROs, trial sites, principal investigators or other third parties fail to comply with applicable GCP requirements, the clinical data generated in our clinical trials may be deemed unreliable and the FDA or other regulatory authorities may require us to exclude the use of patient data from our clinical trials not conducted in compliance with GCP or perform additional clinical trials before approving our marketing applications. They may even reject our application for approval or refuse to accept our future applications for an extended time period. For example in China in March 2016, the State Drug Administration, now known as the NMPA issued guidance related to its clinical trial data integrity regulations. While trial sites and CROs bear liability for the accuracy and authenticity of data they are directly responsible for, the sponsor ultimately bears full responsibility for submitted clinical data and the drug application dossier. Fraudulent clinical data could result in a ban in China of a sponsor’s product-related NDA applications for three years and other NDA applications for one year. We have taken extensive steps to ensure the integrity of our China clinical data. In China, the clinical site inspections confirmed our compliance with GCP regulations and supported our approval. However, we cannot assure you that upon inspection by a regulatory authority in other regions, such regulatory authority will determine that any of our clinical trials comply with GCP requirements or that our results will be deemed authentic or may be used in support of our regulatory submissions.</w:t>
      </w:r>
    </w:p>
    <w:p>
      <w:pPr>
        <w:spacing w:after="0" w:line="301" w:lineRule="exact"/>
        <w:rPr>
          <w:sz w:val="20"/>
          <w:szCs w:val="20"/>
          <w:color w:val="auto"/>
        </w:rPr>
      </w:pPr>
    </w:p>
    <w:p>
      <w:pPr>
        <w:jc w:val="both"/>
        <w:ind w:right="18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or maintain agreements with third parties to market and sell our product candidates, we may not be successful in commercializing our product candidates if and when they are approved.</w:t>
      </w:r>
    </w:p>
    <w:p>
      <w:pPr>
        <w:spacing w:after="0" w:line="38"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do not have a sales or marketing infrastructure and have no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62" w:lineRule="exact"/>
        <w:rPr>
          <w:sz w:val="20"/>
          <w:szCs w:val="20"/>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effectively manage geographically dispersed sales and marketing teams;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With respect to roxadustat, we are dependent on the commercialization capabilities of our collaboration partners, AstraZeneca and Astellas. If either such partner were to terminate its agreement with us, we would have to commercialize on our own or with another third party. We will have limited or little control over the commercialization efforts of such third parties, and any of them may fail to devote the necessary resources and attention to sell and market our products, if any, effectively. If they are not successful in commercializing our product candidates, our business and financial condition would suffer.</w:t>
      </w:r>
    </w:p>
    <w:p>
      <w:pPr>
        <w:spacing w:after="0" w:line="2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development and commercialization of new pharmaceutical products is highly competitive. Our future success depends on our ability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If roxadustat is approved and launched commercially, competing drugs are expected to include ESAs, particularly in those patient segments where ESAs 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used. Currently available ESAs include epoetin alfa (EPOGEN </w:t>
      </w:r>
      <w:r>
        <w:rPr>
          <w:rFonts w:ascii="Arial" w:cs="Arial" w:eastAsia="Arial" w:hAnsi="Arial"/>
          <w:sz w:val="14"/>
          <w:szCs w:val="14"/>
          <w:color w:val="auto"/>
        </w:rPr>
        <w:t>®</w:t>
      </w:r>
      <w:r>
        <w:rPr>
          <w:rFonts w:ascii="Arial" w:cs="Arial" w:eastAsia="Arial" w:hAnsi="Arial"/>
          <w:sz w:val="17"/>
          <w:szCs w:val="17"/>
          <w:color w:val="auto"/>
        </w:rPr>
        <w:t xml:space="preserve">, marketed by Amgen Inc. in the U.S., Procrit </w:t>
      </w:r>
      <w:r>
        <w:rPr>
          <w:rFonts w:ascii="Arial" w:cs="Arial" w:eastAsia="Arial" w:hAnsi="Arial"/>
          <w:sz w:val="14"/>
          <w:szCs w:val="14"/>
          <w:color w:val="auto"/>
        </w:rPr>
        <w:t>®</w:t>
      </w:r>
      <w:r>
        <w:rPr>
          <w:rFonts w:ascii="Arial" w:cs="Arial" w:eastAsia="Arial" w:hAnsi="Arial"/>
          <w:sz w:val="17"/>
          <w:szCs w:val="17"/>
          <w:color w:val="auto"/>
        </w:rPr>
        <w:t xml:space="preserve"> and Erypo </w:t>
      </w:r>
      <w:r>
        <w:rPr>
          <w:rFonts w:ascii="Arial" w:cs="Arial" w:eastAsia="Arial" w:hAnsi="Arial"/>
          <w:sz w:val="14"/>
          <w:szCs w:val="14"/>
          <w:color w:val="auto"/>
        </w:rPr>
        <w:t>®</w:t>
      </w:r>
      <w:r>
        <w:rPr>
          <w:rFonts w:ascii="Arial" w:cs="Arial" w:eastAsia="Arial" w:hAnsi="Arial"/>
          <w:sz w:val="17"/>
          <w:szCs w:val="17"/>
          <w:color w:val="auto"/>
        </w:rPr>
        <w:t xml:space="preserve">/Eprex </w:t>
      </w:r>
      <w:r>
        <w:rPr>
          <w:rFonts w:ascii="Arial" w:cs="Arial" w:eastAsia="Arial" w:hAnsi="Arial"/>
          <w:sz w:val="14"/>
          <w:szCs w:val="14"/>
          <w:color w:val="auto"/>
        </w:rPr>
        <w:t>®</w:t>
      </w:r>
      <w:r>
        <w:rPr>
          <w:rFonts w:ascii="Arial" w:cs="Arial" w:eastAsia="Arial" w:hAnsi="Arial"/>
          <w:sz w:val="17"/>
          <w:szCs w:val="17"/>
          <w:color w:val="auto"/>
        </w:rPr>
        <w:t>, marketed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Johnson &amp; Johnson Inc., and Espo </w:t>
      </w:r>
      <w:r>
        <w:rPr>
          <w:rFonts w:ascii="Arial" w:cs="Arial" w:eastAsia="Arial" w:hAnsi="Arial"/>
          <w:sz w:val="13"/>
          <w:szCs w:val="13"/>
          <w:color w:val="auto"/>
        </w:rPr>
        <w:t>®</w:t>
      </w:r>
      <w:r>
        <w:rPr>
          <w:rFonts w:ascii="Arial" w:cs="Arial" w:eastAsia="Arial" w:hAnsi="Arial"/>
          <w:sz w:val="16"/>
          <w:szCs w:val="16"/>
          <w:color w:val="auto"/>
        </w:rPr>
        <w:t xml:space="preserve"> marketed by Kyowa Hakko Kirin in Japan and China), darbepoetin (Amgen/Kyowa Hakko Kirin’s Aranesp </w:t>
      </w:r>
      <w:r>
        <w:rPr>
          <w:rFonts w:ascii="Arial" w:cs="Arial" w:eastAsia="Arial" w:hAnsi="Arial"/>
          <w:sz w:val="13"/>
          <w:szCs w:val="13"/>
          <w:color w:val="auto"/>
        </w:rPr>
        <w:t>®</w:t>
      </w:r>
      <w:r>
        <w:rPr>
          <w:rFonts w:ascii="Arial" w:cs="Arial" w:eastAsia="Arial" w:hAnsi="Arial"/>
          <w:sz w:val="16"/>
          <w:szCs w:val="16"/>
          <w:color w:val="auto"/>
        </w:rPr>
        <w:t xml:space="preserve"> and NESP</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 and Mircera</w:t>
      </w:r>
      <w:r>
        <w:rPr>
          <w:rFonts w:ascii="Arial" w:cs="Arial" w:eastAsia="Arial" w:hAnsi="Arial"/>
          <w:sz w:val="14"/>
          <w:szCs w:val="14"/>
          <w:color w:val="auto"/>
        </w:rPr>
        <w:t xml:space="preserve"> ® </w:t>
      </w:r>
      <w:r>
        <w:rPr>
          <w:rFonts w:ascii="Arial" w:cs="Arial" w:eastAsia="Arial" w:hAnsi="Arial"/>
          <w:sz w:val="17"/>
          <w:szCs w:val="17"/>
          <w:color w:val="auto"/>
        </w:rPr>
        <w:t>marketed by Hoffmann-La Roche (“Roche”) outside of the U.S. and by Vifor Pharma (“Vifor”), a Roche licensee, in the U.S. and Puerto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Rico, as well as biosimilar versions of these currently marketed ESA products. ESAs have been used in the treatment of anemia in CKD for more than 20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years, serving a significant majority of DD-CKD patients. While NDD-CKD patients who are not under the care of nephrologists, including those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diabetes and hypertension, do not typically receive ESAs and are often left untreated, some patients under nephrology care may be receiving ESA therapy. 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be difficult to encourage healthcare providers and patients to switch to roxadustat from products with which they have become familiar.</w:t>
      </w:r>
    </w:p>
    <w:p>
      <w:pPr>
        <w:spacing w:after="0" w:line="21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may also face competition from potential new anemia therapies currently in clinical development, including in those patient segments not currently addressed by ESAs. Companies such as GlaxoSmithKline plc (“GSK”), Bayer Corporation (“Bayer”), Akebia Therapeutics, Inc. (“Akebia”), and Japan Tobacco Inc., are currently developing HIF prolyl hydroxylase (“HIF-PH”) inhibitors for anemia in CKD indications. Akebia has completed enrollment in its global Phase 3 studies in NDD–CKD and DD-CKD, while conducting additional Phase 1 and Phase 2 studies. In Japan, Mitsubishi Tanabe Pharmaceutical Corporation (“Mitsubishi Tanabe”), Akebia’s collaboration partner, submitted an NDA in July 2019 for treatment of anemia in CKD patients on dialysis and not on dialysis, supported by the Phase 3 studies conducted by Mitsubishi Tanabe in Japan. GSK is conducting global Phase 3 studies in NDD-CKD and DD-CKD. In Japan, GSK submitted an NDA in August 2019 for the treatment of patients with renal anemia due to CKD. GSK and Kyowa Hakko Kirin announced in November 2018 that the two companies signed a strategic commercialization deal in Japan for daprodustat. Bayer has completed global Phase 2 studies and announced in May 2017 its HIF-PH inhibitor is now in continued development in Japan only, and its Japan Phase 3 studies in NDD-CKD and DD-CKD are expected to complete in the second half of 2019. Japan Tobacco Inc. is also conducting Phase 3 studies in NDD-CKD and DD-CKD in Japan only. Some of these product candidates may enter the market prior to roxadustat.</w:t>
      </w:r>
    </w:p>
    <w:p>
      <w:pPr>
        <w:spacing w:after="0" w:line="1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there are other companies developing biologic therapies for the treatment of other anemia indications that we may also seek to pursue in the future, including anemia of MDS. For example, Acceleron Pharma Inc. and its partner Celgene Corporation (“Celgene”) announced in June 2019 that the U.S. FDA accepted Celgene’s Biologics License Application (“BLA”) for luspatercept for the treatment of adult patients with very low to intermediate risk of MDS-associated anemia who have ring sideroblasts and require red blood cell transfusions for regular review, and beta-thalassemia-associated anemia who require red blood cell transfusions for priority review, with the target action dates of April 2020 and December 2019, respectively. Celgene’s marketing approval application for luspatercept has also been accepted by the European Union (“EU”), and a luspatercept Phase 2 study started in Japan. There may also be new therapies for renal-related diseases that could limit the market or level of reimbursement available for roxadustat if and when it is commercialized.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China, locally manufactured epoetin alfa are offered by Chinese pharmaceutical companies such as EPIAO marketed by 3SBio Inc. as well as more than 15 other local manufacturers. We may also face competition by HIF-PH inhibitors from other companies such as Akebia, Bayer, and GSK, which was authorized by the NMPA to conduct trials in China to support its ex-China regulatory filings. Furthermore, while it is too early to understand how the NMPA will implement its recently approved guidelines to allow multinational companies to use their ex-China clinical data in their NDAs in China, these guidelines could in theory allow competitors to accelerate their NDA applications in China. Akebia announced in December 2015 that it has entered into a development and commercialization partnership with Mitsubishi Tanabe for its HIF-PH inhibitor vadadustat in Japan, Taiwan, South Korea, India, and certain other countries in Asia, and announced in April 2017 an expansion of their U.S. collaboration with Otsuka to add markets, including China. Two Chinese domestic companies, Jiangsu Hengrui Medicine Co., Ltd. and Guangdong Sunshine Health Investment Co., Ltd., have announced they also secured the NMPA approval to conduct clinical trials for their respective HIF-PH inhibitors. 3SBio Inc. has recently filed an IND for its HIF-PH inhibitor with the NMPA.</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first biosimilar ESAs, Pfizer’s Retacrit® (epoetin zeta), entered the U.S. market in November 2018. Market penetration of Retacrit® (epoetin zeta) and the potential addition of other biosimilar ESAs, currently under development, may alter the competitive and pricing landscape of anemia therapy in DD-CKD patients under the end stage renal disease bundle. The patents for Amgen’s epoetin alfa, EPOGEN, expired in 2004 in the EU, and the final material patents in the U.S. expired in May 2015. Several biosimilar versions of currently marketed ESAs are available for sale in the EU, China and other territories. In the U.S., a few ESA biosimilars are currently under development. Sandoz, a division of Novartis, markets Binocrit </w:t>
      </w:r>
      <w:r>
        <w:rPr>
          <w:rFonts w:ascii="Arial" w:cs="Arial" w:eastAsia="Arial" w:hAnsi="Arial"/>
          <w:sz w:val="15"/>
          <w:szCs w:val="15"/>
          <w:color w:val="auto"/>
        </w:rPr>
        <w:t>®</w:t>
      </w:r>
      <w:r>
        <w:rPr>
          <w:rFonts w:ascii="Arial" w:cs="Arial" w:eastAsia="Arial" w:hAnsi="Arial"/>
          <w:sz w:val="18"/>
          <w:szCs w:val="18"/>
          <w:color w:val="auto"/>
        </w:rPr>
        <w:t xml:space="preserve"> (epoetin alfa) in Europe and may file a biosimilar BLA in the U.S.</w:t>
      </w:r>
    </w:p>
    <w:p>
      <w:pPr>
        <w:spacing w:after="0" w:line="19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majority of the current CKD anemia market focuses on dialysis patients, who visit dialysis centers on a regular basis, typically three-times a week, and anemia therapies are administered as part of the visit. Two of the largest operators of dialysis clinics in the U.S., DaVita Healthcare Partners Inc. (“DaVita”) and Fresenius Medical Care AG &amp; Co. KGaA (“Fresenius”), collectively provide dialysis care to over 80% of U.S. dialysis patients, and therefore have historically won long-term contracts including rebate terms with Amgen. In January 2017, DaVita entered into a new 6-year sourcing and supply agreement with Amgen that is effective through 2022. Fresenius’ contract with Amgen expired in 2015, and Fresenius is now administering Mircera</w:t>
      </w:r>
      <w:r>
        <w:rPr>
          <w:rFonts w:ascii="Arial" w:cs="Arial" w:eastAsia="Arial" w:hAnsi="Arial"/>
          <w:sz w:val="14"/>
          <w:szCs w:val="14"/>
          <w:color w:val="auto"/>
        </w:rPr>
        <w:t>®</w:t>
      </w:r>
      <w:r>
        <w:rPr>
          <w:rFonts w:ascii="Arial" w:cs="Arial" w:eastAsia="Arial" w:hAnsi="Arial"/>
          <w:sz w:val="17"/>
          <w:szCs w:val="17"/>
          <w:color w:val="auto"/>
        </w:rPr>
        <w:t xml:space="preserve"> in a significant portion of its U.S. dialysis patients since Mircera was made available by Vifor. Successful penetration of this market may require a significant agreement with Fresenius or DaVita on favorable terms and on a timely basis.</w:t>
      </w:r>
    </w:p>
    <w:p>
      <w:pPr>
        <w:spacing w:after="0" w:line="21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pamrevlumab is approved and launched commercially to treat IPF, competing drugs are expected to include Roche’s Esbriet® (pirfenidone) and Boehringer Ingelheim Pharma GmbH &amp; Co. KG’s Ofev® (nintedanib). Nintedanib is also in development for non-small cell lung cancer and ovarian cancer. Other potential competitive product candidates in development for IPF include Biogen-Idec’s BG-00011, Galapagos NV’s GLPG1690 and GLPG1205, Kadmon Holdings, Inc.’s KD025, Prometic Life Sciences Inc.’s PBI-4050, and Promedior Inc.’s PRM-151. Galapagos NV initiated a Phase 3 study for GLPG 1690 in December 2018.</w:t>
      </w:r>
    </w:p>
    <w:p>
      <w:pPr>
        <w:spacing w:after="0" w:line="188"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If pamrevlumab is approved and launched commercially to treat locally advanced pancreatic cancer patients who are not candidates for surgical resection, pamrevlumab may face competition from agents seeking approval in combination with gemcitibine and nab-paclitaxel from companies such as NewLink Genetics Corporation and Halozyme Therapeutics, Inc. Gemcitabine and/or nab-paclitaxel are the current standard of care in the first-line treatment of metastatic pancreatic cancer. Celgene Corporation’s Abraxane</w:t>
      </w:r>
      <w:r>
        <w:rPr>
          <w:rFonts w:ascii="Arial" w:cs="Arial" w:eastAsia="Arial" w:hAnsi="Arial"/>
          <w:sz w:val="15"/>
          <w:szCs w:val="15"/>
          <w:color w:val="auto"/>
        </w:rPr>
        <w:t>®</w:t>
      </w:r>
      <w:r>
        <w:rPr>
          <w:rFonts w:ascii="Arial" w:cs="Arial" w:eastAsia="Arial" w:hAnsi="Arial"/>
          <w:sz w:val="18"/>
          <w:szCs w:val="18"/>
          <w:color w:val="auto"/>
        </w:rPr>
        <w:t xml:space="preserve"> (nab-paclitaxel) was launched in the U.S. and Europe in 2013 and 2014, and was the first drug approved in this disease in nearly a decade.</w:t>
      </w:r>
    </w:p>
    <w:p>
      <w:pPr>
        <w:spacing w:after="0" w:line="1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If pamrevlumab is approved and launched commercially to treat DMD, pamrevlumab may face competition for some patients from Sarepta Therapeutics, Inc. (“Sarepta”) with Exondys 51® (eteplirsen), approved in the U.S. for patients who have a confirmed mutation in the DMD gene that is amenable to exon 51 skipping, and from PTC Therapeutics’ drug ataluren approved in ambulatory patients in Europe. We may also face competition from Sarepta’s golodirsen, currently under NDA review in the U.S., and agents currently in development for DMD, including PTC Therapeutics, Inc.’s ataluren, Santhera Pharmaceuticals Holding’s idebone, Catabasis Pharmaceuticals, Inc.’s edasalonexent, Capricor Therapeutics Inc.’s CAP-1002, and Sarepta’s casimersen and other gene therapies, if and when these agents are approved and launched.</w:t>
      </w:r>
    </w:p>
    <w:p>
      <w:pPr>
        <w:spacing w:after="0" w:line="17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success of any or all of these potential competitive products may negatively impact the development and potential for success of pamrevlumab. In addition, any competitive products that are on the market or in development may compete with pamrevlumab for patient recruitment and enrollment for clinical trials or may force us to change our clinical trial design, including, in order to compare pamrevlumab against another drug, which may be the new standard of care.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If FG-5200 is approved and launched in China to treat corneal blindness resulting from partial thickness corneal damage without active inflammation and infection, it is likely to compete with other products designed to treat corneal damage. For example, in April 2015, a subsidiary of China Regenerative Medicine International Limited received approval for their acellular porcine cornea stroma medical device to treat patients in China with corneal ulcers and in April 2016, Guangzhou Yourvision Biotech Co. Ltd, a subsidiary of Guanhao Biotech, received approval for their acellular porcine cornea medical device to treat patients in China with infectious keratitis that does not respond to drug treatment.</w:t>
      </w:r>
    </w:p>
    <w:p>
      <w:pPr>
        <w:spacing w:after="0" w:line="1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 currently marketed ESA products are supported by large pharmaceutical companies that have greater experience and expertise in commercialization in the anemia market, including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scale, research and marketing capabilities than we do and may also have products that have been approved or are in later stages of development and have collaboration agreements in our target markets with leading dialysis companies and research institutions. These competitors have in the past successfully prevented new and competing products from entering the anemia market, and we expect that their resources will represent challenges for us and our collaboration partners, AstraZeneca and Astellas. If we and our collaboration partners are not able to compete effectively against existing and potential competitors, our business and financial condition may be materially and adversely affected.</w:t>
      </w:r>
    </w:p>
    <w:p>
      <w:pPr>
        <w:spacing w:after="0" w:line="2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future commercial success depends upon attaining significant market acceptance of our product candidates, if approved, among physicians, patients, third-party payors and others in the health care community.</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Even if we obtain marketing approval for roxadustat, pamrevlumab or any other product candidates that we may develop or acquire in the future in all indications and geographic regions, these product candidates may not gain market acceptance among physicians, third-party payors, patients and others in the health care community. Market acceptance of any approved product, including in roxadustat for the treatment of anemia caused by CKD in China and Japan, depends on a number of other factors, including:</w:t>
      </w:r>
    </w:p>
    <w:p>
      <w:pPr>
        <w:spacing w:after="0" w:line="79" w:lineRule="exact"/>
        <w:rPr>
          <w:sz w:val="20"/>
          <w:szCs w:val="20"/>
          <w:color w:val="auto"/>
        </w:rPr>
      </w:pPr>
    </w:p>
    <w:p>
      <w:pPr>
        <w:ind w:left="1040" w:right="8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labeling required by regulatory authorities for use with the product, including any warnings that may be required in the labeling;</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safety, efficacy and convenience of treatment in relation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or pricing by third-party payors and government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ability of treatment providers, such as dialysis clinics, to enter into relationships with us without violating their existing agreement;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No or limited reimbursement or insurance coverage of our approved products, if any, by third-party payors may render our products less attractive to patients and healthcare providers.</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Market acceptance and sales of any approved products will depend significantly on reimbursement or coverage of our products by the Chinese government or third-party payors and may be affected by existing and future healthcare reform measures or prices of related products for which the government or third-party reimbursement applies. Coverage and reimbursement by the government or a third-party payor may depend upon a number of factors, including the payor’s determination that use of a product is:</w:t>
      </w:r>
    </w:p>
    <w:p>
      <w:pPr>
        <w:spacing w:after="0" w:line="79" w:lineRule="exact"/>
        <w:rPr>
          <w:sz w:val="20"/>
          <w:szCs w:val="20"/>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review and publication cycle for the Chinese government to update their reimbursement lists (national or provincial) is unpredictable and is outside our control.</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which we may not be able to provide. Furthermore, the reimbursement policies of third-party payors may significantly change in a manner that renders our clinical data insufficient for adequate reimbursement or otherwise limits the successful marketing of our products. Even if we obtain coverage for our product candidates, third-party payors may not establish adequate reimbursement amounts, which may reduce the demand for, or the price of, our products. If reimbursement is not available or is available only to limited levels, we may not be able to commercialize certain of our products.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Price controls may limit the price at which products such as roxadustat, if approved, are sold. For example, reference pricing is used by various EU member states and parallel distribution, or arbitrage between low-priced and high-priced member states, can further reduce prices. In some countries, we or our partner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unacceptable levels, we or our partner may elect not to commercialize our products in such countries, and our business and financial condition could be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If our collaborations with Astellas or AstraZeneca were terminated, or if Astellas or AstraZeneca were to prioritize other initiatives over their collaborations with us, whether as a result of a change of control or otherwise, our ability to successfully develop and commercialize our lead product candidate, roxadustat, would suffer.</w:t>
      </w:r>
    </w:p>
    <w:p>
      <w:pPr>
        <w:spacing w:after="0" w:line="73"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8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In addition, each of those agreements provides our respective partners the right to terminate any of those agreements upon written notice for convenience.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 In addition, some of our collaborations are exclusive and preclude us from entering into additional collaboration agreements with other parties in the area or field of exclusivity.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we fail to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Conflicts with our collaboration partners could jeopardize our collaboration agreements and our ability to commercialize product candidates.</w:t>
      </w:r>
    </w:p>
    <w:p>
      <w:pPr>
        <w:spacing w:after="0" w:line="1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collaboration partners have certain rights to control decisions regarding the development and commercialization of our product candidates with respect to which they are providing funding. If we have a disagreement over strategy and activities, our plans for obtaining approval may be revised and negatively affect the anticipated timing and potential for success of our product candidates. Even if a product under a collaboration agreement is approved, we will remain substantially dependent on the commercialization strategy and efforts of our collaboration partners, and neither of our collaboration partners has experience in commercialization of a novel drug such as roxadustat in the dialysis market.</w:t>
      </w:r>
    </w:p>
    <w:p>
      <w:pPr>
        <w:spacing w:after="0" w:line="1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With respect to our collaboration agreements for roxadustat, there are additional complexities in that we and our collaboration partners, Astellas and AstraZeneca, must reach consensus on our Phase 3 development program.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may negatively impact the timing or success of our planned Phase 3 clinical studies.</w:t>
      </w:r>
    </w:p>
    <w:p>
      <w:pPr>
        <w:spacing w:after="0" w:line="19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intend to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and we should be precluded from such internal activities. Moreover, disagreements with our collaboration partners could develop over rights to our intellectual property.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w:t>
      </w:r>
    </w:p>
    <w:p>
      <w:pPr>
        <w:spacing w:after="0" w:line="17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27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rely on third parties for the conduct of most of our preclinical and clinical trials for our product candidates, and if our third-party contractors do not properly and successfully perform their obligations under our agreements with them, we may not be able to obtain or may be delayed in receiving regulatory approvals for our product candidates.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third-party CROs to assist in undertaking, managing, monitoring and executing our ongoing clinical trials, including those for roxadustat. We expect to continue to rely on CROs, clinical data management organizations, medical institutions and clinical investigators to conduct our development efforts in the future, including our Phase 3 development program for roxadustat. We compete with many other companies for the resources of these third parties, and large pharmaceutical companies often have significantly more extensive agreements and relationships with such third-party providers, and such third-party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w:t>
      </w:r>
    </w:p>
    <w:p>
      <w:pPr>
        <w:spacing w:after="0" w:line="17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any of our CROs, trial sites, principal investigators or other third parties fail to comply with applicable GCP requirements, other regulations, trial protocol or other requirements under their agreements with us, the quality or accuracy of the data they obtain may be compromised or unreliable, and the trials of our product candidates may not meet regulatory requirements. If trials do not meet regulatory requirements or if these third parties need to be replaced, the development of our product candidates may be delayed, suspended or terminated, regulatory authorities may require us to exclude the use of patient data from our approval applications or perform additional clinical trials before approving our marketing applications. Regulatory authorities may even reject our application for approval or refuse to accept our future applications for an extended time period. We cannot assure that upon inspection by a regulatory authority, such regulatory authority will determine that any of our clinical trials comply with GCP requirements or that our results may be used in support of our regulatory submissions. If any of these events occur, we may not be able to obtain regulatory approval for our product candidates on a timely basis, at a reasonable cost, or at all.</w:t>
      </w: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many aspects of our clinical studies and product manufacturing, and these third parties may not perform satisfactorily.</w:t>
      </w:r>
    </w:p>
    <w:p>
      <w:pPr>
        <w:spacing w:after="0" w:line="62"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do not have operating manufacturing facilities at this time other than our roxadustat and FG-5200 manufacturing facility in China, and our current commercial manufacturing facility plans in China are not expected to satisfy the requirements necessary to support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Risks arising from our reliance on third-party manufacturers include:</w:t>
      </w:r>
    </w:p>
    <w:p>
      <w:pPr>
        <w:spacing w:after="0" w:line="80" w:lineRule="exact"/>
        <w:rPr>
          <w:sz w:val="20"/>
          <w:szCs w:val="20"/>
          <w:color w:val="auto"/>
        </w:rPr>
      </w:pPr>
    </w:p>
    <w:p>
      <w:pPr>
        <w:ind w:left="1040" w:right="28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reduced control and additional burdens of oversight as a result of using third-party manufacturers for all aspects of manufacturing activities, including regulatory compliance and quality control and quality assurance;</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termination of manufacturing agreements, termination fees associated with such termination, or nonrenewal of manufacturing agreements with third parties may negatively impact our planned development and commercialization activities;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possible misappropriation of our proprietary technology, including our trade secrets and know-how; and</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unrelated to our product, including the merger, acquisition, or bankruptcy of a manufacturer or supplier or a catastrophic event affecting our manufacturers or suppliers.</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no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Any of our third-party manufacturers may terminate their engagement with us at any time and we have not yet entered into any commercial supply agreements for the manufacture of active pharmaceutical ingredient (“API”) or drug products. With respect to roxadustat, AstraZeneca and Astellas have certain rights to assume manufacturing of roxadustat and the existence of those rights may limit our ability to enter into favorable long-term supply agreements, if at all, with other third-party manufacturers. In addition, our product candidates and any products that we may develop may compete with other product candidates and products for access and prioritization to manufacture. Certain third-party manufacturers may be contractually prohibited from manufacturing our product due to non-compete agreements with our competitors or a commitment to grant another party priority relative to our products. There are a limited number of third-party manufacturers that operate under cGMP and that might be capable of manufacturing to meet our requirements. Due to the limited number of third-party manufacturers with the contractual freedom, expertise, required regulatory approvals and facilities to manufacture our products on a commercial scale, identifying and qualifying a replacement third-party manufacturer would be expensive and time-consuming and may cause delay or interruptions in the production of our product candidates or products, which in turn may delay, prevent or impair our development and commercialization efforts.</w:t>
      </w:r>
    </w:p>
    <w:p>
      <w:pPr>
        <w:spacing w:after="0" w:line="19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have a letter agreement with IRIX Pharmaceuticals, Inc. (“IRIX”), a third-party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we and IRIX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In 2015, Patheon Pharmaceuticals Inc., a business unit of DPx Holdings B.V. (“Patheon”), acquired IRIX, and in 2017 ThermoFisher Scientific Inc. acquired Patheon.</w:t>
      </w:r>
    </w:p>
    <w:p>
      <w:pPr>
        <w:spacing w:after="0" w:line="1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any third-party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third-party manufacturer we expect to enter into technical transfer agreements and share our know-how with the third-party manufacturer, which can be time-consuming and may result in delays. These delays could result in a suspension or delay of marketing roxadustat.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Certain of the components of our product candidates are acquired from single-source suppliers and have been purchased without long-term supply agreements. The loss of any of these suppliers, or their failure to supply us with supplies of sufficient quantity and quality to complete our drug substance or finished drug product of acceptable quality and an acceptable price, would materially and adversely affect our business.</w:t>
      </w:r>
    </w:p>
    <w:p>
      <w:pPr>
        <w:spacing w:after="0" w:line="3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do not have an alternative supplier of certain components of our product candidates. To date, we have used purchase orders for the supply of materials that we use in our product candidates. We may be unable to enter into long-term commercial supply arrangements with our vendors,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 Moreover, we currently do not have any agreements for the commercial production of those materials.</w:t>
      </w:r>
    </w:p>
    <w:p>
      <w:pPr>
        <w:spacing w:after="0" w:line="15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active pharmaceutical ingredient (“API”), and drug product to meet our and our collaboration partners’ needs for roxadustat to date, the lead time and regulatory approvals required to source from and into countries outside of the U.S. increase the risk of delay and potential shortages of supply.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are involved in, have in the past been involved in, and may in the future be involved in legal or administrative proceedings involving our intellectual property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are involved in,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Composition-of-matter patents relating to the API are generally considered to be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73"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(“AIA”), effective March 16, 2013. This system also includes procedures for challenging issued patents and pending patent applications, which creates additional uncertainty. We may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disputes with third parties and competitors may be costly and time consuming, and may negatively affect our competitive position.*</w:t>
      </w:r>
    </w:p>
    <w:p>
      <w:pPr>
        <w:spacing w:after="0" w:line="15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may initiate or become party to or be threatened with future litigation or other proceedings regarding intellectual property rights with respect to our product candidates and competing products.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our product candidates progress toward commercialization, we or our collaboration partners may be subject to patent infringement claims from third parties. We attempt to ensure that our product candidates do not infringe third-party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may consider administrative proceedings and other means for challenging third-party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We intend, if necessary, to vigorously enforce our intellectual property in order to protect the proprietary position of our product candidates, including roxadustat and pamrevlumab. In addition, our collaboration partners who have been granted licenses to our patents may also have rights related to enforcement of those patents. Active efforts to enforce our patents by us or by our partners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 For example, we previously prevailed in an administrative challenge initiated by a major biopharmaceutical company regarding our intellectual property rights, maintaining our intellectual property in all relevant scope, and will continue to protect and enforce our intellectual property rights. In addition, our partner Astellas has recently initiated </w:t>
      </w:r>
      <w:r>
        <w:rPr>
          <w:rFonts w:ascii="Arial" w:cs="Arial" w:eastAsia="Arial" w:hAnsi="Arial"/>
          <w:sz w:val="16"/>
          <w:szCs w:val="16"/>
          <w:i w:val="1"/>
          <w:iCs w:val="1"/>
          <w:color w:val="auto"/>
        </w:rPr>
        <w:t>quia timet</w:t>
      </w:r>
      <w:r>
        <w:rPr>
          <w:rFonts w:ascii="Arial" w:cs="Arial" w:eastAsia="Arial" w:hAnsi="Arial"/>
          <w:sz w:val="16"/>
          <w:szCs w:val="16"/>
          <w:color w:val="auto"/>
        </w:rPr>
        <w:t xml:space="preserve"> infringement actions against Akebia and GSK based on our specific patents in the United Kingdom in response to actions taken by Akebia and GSK against those patents, as further detailed below.</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Third parties may also challenge our patents and patent applications, through interference,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post-grant review proceedings before the U.S. Patent and Trademark Office (“USPTO”) or through comparable proceedings in other territories. For example, Akebia and others have filed oppositions against certain European patents within our HIF anemia-related technologies patent portfolio. In three of these proceedings, for FibroGen European Patent Nos. 1463823, 1633333, and 2322155, the European Patent Office has handed down decisions unfavorable to FibroGen. In a fourth of these proceedings, the European Patent Office issued a decision favorable to FibroGen, maintaining FibroGen European Patent No. 2322153 in amended form. All of these decisions are currently under appeal, and these four patents are valid and enforceable pending resolution of the appeals. The ultimate outcomes of such proceedings remain uncertain, and ultimate resolution of the appeals may take two years or longer. In addition, Akebia recently filed oppositions against FibroGen European Patent Nos. 2289531 and 2298301. As mentioned above, Akebia and GSK have also initiated actions in the United Kingdom against the United Kingdom counterparts of each of these European patents, and GSK has filed for a declaration of non-infringement of certain United Kingdom patents (corresponding to FibroGen European Patent Nos. 2322153 and 2322155) with respect to its daprodustat product. Akebia is also pursuing invalidation actions against corresponding patents in Canada and in Japan. While we believe the ultimate outcome of all proceedings will be that these FibroGen patents will be upheld in relevant part, we note that narrowing or even revocation of any of these patents would not affect our exclusivity for roxadustat or our freedom-to-operate with respect to use of roxadustat for the treatment of anemia.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Oppositions have also recently been filed against our European Patent No. 2872488, which claims a crystalline form of roxadustat.</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9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29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have an extensive worldwide patent portfolio. The cost of maintaining our patent protection is high and maintaining our patent protection requires continuous review and compliance in order to maintain worldwide patent protection. We may not be able to effectively maintain our intellectual property position throughout the major markets of the world.</w:t>
      </w:r>
    </w:p>
    <w:p>
      <w:pPr>
        <w:spacing w:after="0" w:line="73"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5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6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particularly certain developing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1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16" w:lineRule="exact"/>
        <w:rPr>
          <w:sz w:val="20"/>
          <w:szCs w:val="20"/>
          <w:color w:val="auto"/>
        </w:rPr>
      </w:pPr>
    </w:p>
    <w:p>
      <w:pPr>
        <w:ind w:left="1040" w:right="22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128" w:lineRule="exact"/>
        <w:rPr>
          <w:rFonts w:ascii="Arial" w:cs="Arial" w:eastAsia="Arial" w:hAnsi="Arial"/>
          <w:sz w:val="17"/>
          <w:szCs w:val="17"/>
          <w:color w:val="auto"/>
        </w:rPr>
      </w:pPr>
    </w:p>
    <w:p>
      <w:pPr>
        <w:ind w:left="1040" w:right="22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17"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62" w:lineRule="exact"/>
        <w:rPr>
          <w:rFonts w:ascii="Arial" w:cs="Arial" w:eastAsia="Arial" w:hAnsi="Arial"/>
          <w:sz w:val="18"/>
          <w:szCs w:val="18"/>
          <w:color w:val="auto"/>
        </w:rPr>
      </w:pPr>
    </w:p>
    <w:p>
      <w:pPr>
        <w:ind w:left="1040" w:right="80" w:hanging="519"/>
        <w:spacing w:after="0" w:line="312" w:lineRule="auto"/>
        <w:tabs>
          <w:tab w:leader="none" w:pos="10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25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Roxadustat is considered a Class 2 substance on the 2019 World Anti-Doping Agency Prohibited List which could limit sales and increase security and distribution costs for us and our partners, particularly in China.</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Roxadustat is considered a Class 2 substance on the World Anti-Doping Agency (“WADA”)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 This is particularly the case in China where we will not be able to sell roxadustat in private pharmacies due to the WADA classification. While private pharmacies only represent approximately 10% of the market in China, this will negatively affect sales and therefore the profitability of roxadustat and the Company as a whole.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regulatory approval process is highly uncertain and we may not obtain regulatory approval for the commercialization of our product candidates.</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Except for roxadustat in China for patients on dialysis and not on dialysis, and Japan for patients on dialysis, we have not obtained regulatory approval for any product candidate, and it is possible that neither roxadustat nor pamrevlumab, nor any future product candidates we may discover, in-license or acquire and seek to develop in the future, will obtain regulatory approval in countries other than China and Japan.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from the FDA or other regulatory authorities for many reasons, including:</w:t>
      </w:r>
    </w:p>
    <w:p>
      <w:pPr>
        <w:spacing w:after="0" w:line="117" w:lineRule="exact"/>
        <w:rPr>
          <w:sz w:val="20"/>
          <w:szCs w:val="20"/>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disagreement over our interpretation of data from preclinical studies or clinical trials;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disagreement over whether to accept efficacy results from clinical trial sites outside the U.S. where the standard of care is potentially different from that in the U.S.;</w:t>
      </w:r>
    </w:p>
    <w:p>
      <w:pPr>
        <w:spacing w:after="0" w:line="62"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present or future product candidates to support the submission and filing of an NDA or other submission or to obtain regulatory approval;</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disapproval of the manufacturing processes or facilities of either our manufacturing plant or third-party manufacturers with whom we contract for clinical and commercial supplies;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FDA or other regulatory authorities may require more information, including additional preclinical or clinical data to support approval, which may delay or prevent approval and our commercialization plans, or we may decide to abandon the development program altogether. 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REMS or other regulatory authorities may require the establishment of a similar strategy, that may restrict distribution of our approved products, if any, and impose burdensome implementation requirements on us. Any of the foregoing scenarios could materially harm the commercial prospects for our product candidates.</w:t>
      </w:r>
    </w:p>
    <w:p>
      <w:pPr>
        <w:spacing w:after="0" w:line="19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Even if we believe our current or planned clinical trials are successful, regulatory authorities may not agree that our completed clinical trials provide adequate data on safety or efficacy. Approval by one regulatory authority does not ensure approval by any other regulatory authority.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 candidates in any market.</w:t>
      </w:r>
    </w:p>
    <w:p>
      <w:pPr>
        <w:spacing w:after="0" w:line="28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If our product candidates obtain marketing approval, we will be subject to more extensive healthcare laws, regulation and enforcement and our failure to comply with those laws could have a material adverse effect on our results of operations and financial condition.</w:t>
      </w:r>
    </w:p>
    <w:p>
      <w:pPr>
        <w:spacing w:after="0" w:line="3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If we obtain approval in the U.S. for any of our product candidates, the regulatory requirements applicable to our operations, in particular our sales and marketing efforts, will increase significantly with respect to our operations and the potential for civil and criminal enforcement by the federal government and the states and foreign governments will increase with respect to the conduct of our business. The laws that may affect our operations in the U.S. include:</w:t>
      </w:r>
    </w:p>
    <w:p>
      <w:pPr>
        <w:spacing w:after="0" w:line="39" w:lineRule="exact"/>
        <w:rPr>
          <w:sz w:val="20"/>
          <w:szCs w:val="20"/>
          <w:color w:val="auto"/>
        </w:rPr>
      </w:pPr>
    </w:p>
    <w:p>
      <w:pPr>
        <w:ind w:left="1040" w:hanging="519"/>
        <w:spacing w:after="0" w:line="26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3" w:lineRule="exact"/>
        <w:rPr>
          <w:rFonts w:ascii="Arial" w:cs="Arial" w:eastAsia="Arial" w:hAnsi="Arial"/>
          <w:sz w:val="18"/>
          <w:szCs w:val="18"/>
          <w:color w:val="auto"/>
        </w:rPr>
      </w:pPr>
    </w:p>
    <w:p>
      <w:pPr>
        <w:jc w:val="both"/>
        <w:ind w:left="1040" w:right="260" w:hanging="519"/>
        <w:spacing w:after="0" w:line="26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62"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HIPAA, as amended by Health Information Technology and Clinical Health Act, and its implementing regulations, which imposes certain requirements relating to the privacy, security, and transmission of individually identifiable health information;</w:t>
      </w:r>
    </w:p>
    <w:p>
      <w:pPr>
        <w:spacing w:after="0" w:line="62" w:lineRule="exact"/>
        <w:rPr>
          <w:rFonts w:ascii="Arial" w:cs="Arial" w:eastAsia="Arial" w:hAnsi="Arial"/>
          <w:sz w:val="18"/>
          <w:szCs w:val="18"/>
          <w:color w:val="auto"/>
        </w:rPr>
      </w:pPr>
    </w:p>
    <w:p>
      <w:pPr>
        <w:ind w:left="1040" w:hanging="519"/>
        <w:spacing w:after="0" w:line="279" w:lineRule="auto"/>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Patient Protection and Affordable Care Act (“PPACA”), which requires manufacturers of drugs, devices, biologics, and medical supplies to report annually to the Centers for Medicare and Medicaid Services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40" w:hanging="519"/>
        <w:spacing w:after="0" w:line="291" w:lineRule="auto"/>
        <w:tabs>
          <w:tab w:leader="none" w:pos="10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foreign and state law equivalents of each of the above federal laws, such as the U.S. Foreign Corrupt Practices Act (“FCPA”), anti-kickback and false claims laws that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 and</w:t>
      </w:r>
    </w:p>
    <w:p>
      <w:pPr>
        <w:spacing w:after="0" w:line="59" w:lineRule="exact"/>
        <w:rPr>
          <w:rFonts w:ascii="Arial" w:cs="Arial" w:eastAsia="Arial" w:hAnsi="Arial"/>
          <w:sz w:val="16"/>
          <w:szCs w:val="16"/>
          <w:color w:val="auto"/>
        </w:rPr>
      </w:pPr>
    </w:p>
    <w:p>
      <w:pPr>
        <w:ind w:left="1040" w:hanging="519"/>
        <w:spacing w:after="0" w:line="273" w:lineRule="auto"/>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Trade Agreements Act (“TAA”), which requires that drugs sold to the U.S. Government must be manufactured in the U.S. or in TAA approved and designated countries. Drugs manufactured in countries not approved under the TAA, may not be sold to the U.S. without specific regulatory approval. We have little experience with this regulation and there is a risk that drugs made from Chinese-made API may not be sold to an entity of the U.S. such as the Veterans Health Administration (“VA”) due to our inability to obtain regulatory approval. While there have been recent VA policy changes that appear to allow for sale of drugs from non-TAA approved countries, this policy may change or there may be additional policies or legislation that affect our ability to sell drug to the U.S. Government.</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scope of these laws and our lack of experience in establishing the compliance programs necessary to comply with this complex and evolving regulatory environment increases the risks that we may unknowingly violate the applicable laws and regulations. If our operations are found to be in violation of any of such laws or any other governmental regulations that apply to us, we may be subject to penalties, including civil and criminal penalties, damages, fines,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2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impact of recent U.S. healthcare reform, its potential partial or full repeal, and other changes in the healthcare industry and in healthcare spending is currently unknown, and may adversely affect our business model.</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the U.S., the Medicare Prescription Drug, Improvement, and Modernization Act of 2003 (“MMA”) altered Medicare coverage and payments for pharmaceutical products. The legislation expanded Medicare coverage for drug purchases by the elderly and introduced a new reimbursement methodology based on average sales prices for physician-administered drugs. The MMA also provided authority for limiting the number of drugs that will be covered in any therapeutic class and as a result, we expect that there will be additional pressure to reduce costs. For example, the CMS in implementing the MMA has enacted regulations that reduced capitated payments to dialysis providers. These cost reduction initiatives and other provisions of the MMA could decrease the scope of coverage and the price that may be received for any approved dialysis products and could seriously harm our business and financial condition.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have been enacted in many international markets which could similarly impact the commercial potential for our products.</w:t>
      </w:r>
    </w:p>
    <w:p>
      <w:pPr>
        <w:spacing w:after="0" w:line="17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bundle now covers drugs, services, lab tests and supplies under a single treatment base rate for reimbursement by the CMS based on the average cost per treatment, including the cost of ESAs and IV iron doses, typically without adjustment for usage. It is unknown whether roxadustat, if approved in the U.S., will be included in the payment bundle. Under MIPPA, agents that have no IV equivalent in the bundle are currently expected to be excluded from the bundle until 2025. If roxadustat were included in the bundle, it may reduce the price that could be charged for roxadustat, and therefore potentially limit our profitability. Based on roxadustat’s differentiated mechanism of action and therapeutic effects, and discussions with our collaboration partner, we currently believe that roxadustat might not be included in the bundle. If roxadustat is reimbursed outside of the bundle, it may potentially limit or delay market penetration of roxadustat.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More recently, the PPACA was enacted in 2010 with a goal of reducing the cost of healthcare and substantially changing the way healthcare is financed by both government and private insurers. The PPACA,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U.S. since the PPACA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w:t>
      </w:r>
    </w:p>
    <w:p>
      <w:pPr>
        <w:spacing w:after="0" w:line="16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It is likely that federal and state legislatures within the U.S. and foreign governments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79" w:lineRule="exact"/>
        <w:rPr>
          <w:sz w:val="20"/>
          <w:szCs w:val="20"/>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demand for any products that may be approved for sale;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price and profitability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pricing, coverage and reimbursement applicable to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to successfully position and market any approved product;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taxes applicable to our pharmaceutical product revenues.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Some of the provisions of the PPACA have yet to be fully implemented, while certain provisions have been subject to judicial and Congressional challenges. In January 2017, Congress voted to adopt a budget resolution for fiscal year 2017, that while not a law, is widely viewed as the first step toward the passage of legislation that would repeal certain aspects of the PPACA. Further, on January 20, 2017, President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Congress also could consider subsequent legislation to replace elements of the Affordable Care Act that are repealed. Given these possibilities and others we may not anticipate, the full extent to which our business, results of operations and financial condition could be adversely affected by the recent proposed legislation and the Executive Order is uncertain. The implementation of cost containment measures or other healthcare reforms may prevent us from being able to generate revenue, attain profitability, or commercialize our drugs.</w:t>
      </w:r>
    </w:p>
    <w:p>
      <w:pPr>
        <w:spacing w:after="0" w:line="16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Furthermore, 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regulatory approvals of our product candidates, if any, may be. In addition, increased scrutiny by the U.S. Congress of the FDA’s approval process may significantly delay or prevent regulatory approval, as well as subject us to more stringent product labeling and post-marketing testing and other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conduct, or contract others to conduct, animal testing in the future, which could harm our research and development activities.</w:t>
      </w:r>
    </w:p>
    <w:p>
      <w:pPr>
        <w:spacing w:after="0" w:line="14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Certain laws and regulations relating to drug development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result in significant liability for us and harm our reputation.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employee fraud or other misconduct, including intentional failure to:</w:t>
      </w:r>
    </w:p>
    <w:p>
      <w:pPr>
        <w:spacing w:after="0" w:line="117" w:lineRule="exact"/>
        <w:rPr>
          <w:sz w:val="20"/>
          <w:szCs w:val="20"/>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comply with manufacturing standards we have established;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comply with privacy laws protecting personal information;</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comply with the FCPA and other anti-bribery 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report financial information or data accurately;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or disclose unauthorized activities to us.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2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are establishing international operations and seeking approval to commercialize our product candidates outside of the U.S., in particular in China, and a number of risks associated with international operations could materially and adversely affect our business.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129" w:lineRule="exact"/>
        <w:rPr>
          <w:sz w:val="20"/>
          <w:szCs w:val="20"/>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tariffs, trade barriers and regulatory requirements;</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indications for which our product candidates are being developed;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U.S. and foreign taxes, including withholding of payroll taxes;</w:t>
      </w:r>
    </w:p>
    <w:p>
      <w:pPr>
        <w:spacing w:after="0" w:line="117"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costs and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reliance on CROs, clinical trial sites, principal investigators and other third parties that may be less experienced with clinical trials or have different methods of performing such clinical trials than we are used to in the U.S.;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foreign distributors;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pharmaceutical industry in China is highly regulated and such regulations are subject to change.</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pharmaceutical industry in China is subject to comprehensive government regulation and supervision, encompassing the approval, registration, manufacturing, packaging, licensing and marketing of new drugs. Refer to “</w:t>
      </w:r>
      <w:r>
        <w:rPr>
          <w:rFonts w:ascii="Arial" w:cs="Arial" w:eastAsia="Arial" w:hAnsi="Arial"/>
          <w:sz w:val="17"/>
          <w:szCs w:val="17"/>
          <w:i w:val="1"/>
          <w:iCs w:val="1"/>
          <w:color w:val="auto"/>
        </w:rPr>
        <w:t>Business — Government Regulation — Regulation in China</w:t>
      </w:r>
      <w:r>
        <w:rPr>
          <w:rFonts w:ascii="Arial" w:cs="Arial" w:eastAsia="Arial" w:hAnsi="Arial"/>
          <w:sz w:val="17"/>
          <w:szCs w:val="17"/>
          <w:color w:val="auto"/>
        </w:rPr>
        <w:t>” in our annual report on Form 10-K for the year ended December 31, 2018 for a discussion of the regulatory requirements that are applicable to our current and planned business activities in China. In recent years, the regulatory framework in China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product candidates in China. For example, the NMPA recently adopted the International Council for Harmonisation of Technical Requirements for Pharmaceuticals for Human Use guidelines, and accordingly imposed regulatory oversight earlier in our production process for roxadustat manufactured and sold in China. The change in regulatory starting material triggered an extension of the inspection to our contract manufacturer STA, which was successfully completed in October 2018. In addition, Chinese authorities have become increasingly vigilant in enforcing laws in the pharmaceutical industry, in some cases launching industry-wide investigations, oftentimes appearing to focus on foreign companies. The costs and time necessary to respond to an investigation can be material. Any failure by us or our partners to maintain compliance with applicable laws and regulations or obtain and maintain required licenses and permits may result in the suspension or termination of our business activities in China.</w:t>
      </w:r>
    </w:p>
    <w:p>
      <w:pPr>
        <w:spacing w:after="0" w:line="29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We plan to use our own manufacturing facilities in China to produce roxadustat API, roxadustat drug product, and FG-5200 corneal implants. As an organization, we have limited experience in the construction, licensure, and operation of a manufacturing plant, and accordingly we cannot assure you we will be able to meet regulatory requirements to operate our plant and to sell our products.*</w:t>
      </w:r>
    </w:p>
    <w:p>
      <w:pPr>
        <w:spacing w:after="0" w:line="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have two manufacturing facilities in China, with one located in Beijing and the other in Cangzhou, Hebei. However, as an organization, we have limited experience licensing and operating commercial manufacturing facilities.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will be obligated to comply with continuing cGMP requirements and there can be no assurance that we will maintain all of the appropriate licenses required to manufacture our product candidates for clinical and commercial use in China. In addition, we and our product suppliers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and there can be no assurance that our efforts will continue to be successful in meeting these requirements.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would require separate approval for the manufacture of FG-5200. In addition, we may convert the existing manufacturing process of FG-5200 to a semi-automated process, which may require us to show that implants from our new manufacturing process are comparable to the implants from our existing manufacturing process. There can be no assurance that we will successfully receive licensure and maintain approval for the manufacture of FG-5200, either of which would be expected to delay or preclude our ability to develop FG-5200 in China and may materially adversely affect our business and operations and prospects in China.</w:t>
      </w:r>
    </w:p>
    <w:p>
      <w:pPr>
        <w:spacing w:after="0" w:line="18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Manufacturing facilities in China are subject to periodic unannounced inspections by the NMPA and other regulatory authorities. We expect to depend on these facilities for our product candidates and business operations in China. Natural disasters or other unanticipated catastrophic events, including power interruptions, water shortages, storms, fires, earthquakes, terrorist attacks, government appropriation of our facilities, and wars, could significantly impair our ability to operate our manufacturing facilities. Certain equipment, records and other materials located in these facilities would be difficult to replace or would require substantial replacement lead 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2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In addition to manufacturing, we are responsible for pharmacovigilance, medical affairs, and management of the third-party distribution logistics for roxadustat in China. We have no experience in these areas as a company, and accordingly we cannot assure you we will be able to meet regulatory requirements or operate in these capacities successfully.</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responsible for commercial manufacturing, pharmacovigilance, medical affairs, and management of the third-party distribution logistics for roxadustat commercial activities in China. While we have been increasing our staffing in these areas, as a company, we have no experience managing or operating these functions for a commercial product and there can be no guarantee that we will do so efficiently or effectively. Mistakes or delays in these areas could limit our ability to successfully commercialize roxadustat in China, could limit our eventual market penetration, sales and profitability, and could subject us to significant liability in China.</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and our collaboration partner in China, AstraZeneca, may experience difficulties in successfully generating sales of roxadustat in China.*</w:t>
      </w:r>
    </w:p>
    <w:p>
      <w:pPr>
        <w:spacing w:after="0" w:line="1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and AstraZeneca have a profit sharing arrangement with respect to roxadustat in China and any difficulties we may experience in generating sales will affect our bottom line. Difficulties may be related to our ability to obtain reasonable pricing, reimbursement, hospital listing, and tendering, or other difficulties related to distribution, marketing, and sales efforts in China. Sales of roxadustat in China may be limited due to the complex nature of the healthcare system, low average personal income, pricing controls, still developing infrastructure and potentially rapid competition from other products. The government has committed to updating the National Reimbursement Drug List (“NRDL”) in 2019. Previous updates to the NRDL occurred in 2017 and 2009. In addition, there were also NRDL price negotiations in 2018 for oncology drugs. Admission to the NRDL depends on a number of factors, including on-market experience, scale of patient adoption, physician endorsement, cost-effectiveness and budget impact. Given that roxadustat was approved at the end of 2018, we may or may not qualify for the NRDL update in 2019. In particular, if we are unable to obtain reimbursement for roxadustat through the 2019 update to the NRDL, we may have to wait a substantial period of time before the reimbursement drug list is updated again. Without government reimbursement, many patients will not be able to afford roxadustat, since private commercial health insurance is rare, and our business and operations could be adversely affected. Therefore reimbursement and obtaining hospital listing is critical to roxadustat’s near-term commercial success in China.</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treatment of anemia in CKD in China is highly competitive.*</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Although we have now received approval for roxadustat for the treatment of anemia caused by CKD in dialysis patients and non-dialysis patients in China, it faces intense competition in the market for treatment of anemia in CKD. Roxadustat would compete with ESAs, which are offered by established multinational pharmaceutical companies such as Kyowa Hakko Kirin China Pharmaceutical Co., Ltd., Roche and Chinese pharmaceutical companies such as 3SBio Inc. and Di’ao Group Chengdu Diao Jiuhong Pharmaceutical Factory. Many of these competitors have substantially greater name recognition, scientific, financial, and marketing resources, as well as established distribution capabilities. Many of our competitors have more resources to develop or acquire, and more experience in developing or acquiring, new products and in creating market awareness for those products. Many of these competitors have significantly more experience than we have in navigating the Chinese regulatory framework regarding the development, manufacturing and marketing of drugs in China, as well as in marketing and selling anemia products in China. Additionally, we believe that most patients with anemia in CKD in China are currently being treated with traditional Chinese medicine, which is widely accepted and highly prevalent in China. Traditional Chinese medicine treatments are often oral and thus convenient and low-cost, and practitioners of traditional Chinese medicine are numerous and accessible in China. As a result, it may be difficult to persuade patients with anemia in CKD to switch from traditional Chinese medicine to roxadustat.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Chinese government is implementing a new “Two Invoices” regulation which could affect the way we structure our distributorship relationships in China for roxadustat.</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Chinese government is implementing new regulations that impact distribution of pharmaceutical products in China. These regulations generally require that at most two invoices may be issued throughout the distribution chain. Failure to comply with the “Two-Invoices” regulations would prevent us from accessing the market in China. We are planning on modifying the distribution responsibilities under the China Agreement between AstraZeneca and FibroGen such that FibroGen would engage distributors and a third-party logistics provider, and both companies will work together to manage the distribution network. FibroGen China Anemia Holdings, Ltd (“FibroGen China”) has never managed distribution of pharmaceutical products, and this new distribution structure may impose higher costs or limit or delay our ability to sell products to our principal customers, and may limit the near term sales of our products.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assurance that roxadustat will be included in the Medical Insurance Catalogs.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Eligible participants in the national basic medical insurance program in China, which consists of mostly urban residents, are entitled to reimbursement from the social medical insurance fund for up to the entire cost of medicines that are included in the Medical Insurance Catalogs. Refer to “</w:t>
      </w:r>
      <w:r>
        <w:rPr>
          <w:rFonts w:ascii="Arial" w:cs="Arial" w:eastAsia="Arial" w:hAnsi="Arial"/>
          <w:sz w:val="17"/>
          <w:szCs w:val="17"/>
          <w:i w:val="1"/>
          <w:iCs w:val="1"/>
          <w:color w:val="auto"/>
        </w:rPr>
        <w:t>Business —</w:t>
      </w:r>
      <w:r>
        <w:rPr>
          <w:rFonts w:ascii="Arial" w:cs="Arial" w:eastAsia="Arial" w:hAnsi="Arial"/>
          <w:sz w:val="17"/>
          <w:szCs w:val="17"/>
          <w:color w:val="auto"/>
        </w:rPr>
        <w:t xml:space="preserve"> </w:t>
      </w:r>
      <w:r>
        <w:rPr>
          <w:rFonts w:ascii="Arial" w:cs="Arial" w:eastAsia="Arial" w:hAnsi="Arial"/>
          <w:sz w:val="17"/>
          <w:szCs w:val="17"/>
          <w:i w:val="1"/>
          <w:iCs w:val="1"/>
          <w:color w:val="auto"/>
        </w:rPr>
        <w:t>Government Regulation — Regulation in China</w:t>
      </w:r>
      <w:r>
        <w:rPr>
          <w:rFonts w:ascii="Arial" w:cs="Arial" w:eastAsia="Arial" w:hAnsi="Arial"/>
          <w:sz w:val="17"/>
          <w:szCs w:val="17"/>
          <w:color w:val="auto"/>
        </w:rPr>
        <w:t>” in our annual report on Form 10-K for the year ended December 31, 2018. We believe that the inclusion of a</w:t>
      </w:r>
      <w:r>
        <w:rPr>
          <w:rFonts w:ascii="Arial" w:cs="Arial" w:eastAsia="Arial" w:hAnsi="Arial"/>
          <w:sz w:val="17"/>
          <w:szCs w:val="17"/>
          <w:i w:val="1"/>
          <w:iCs w:val="1"/>
          <w:color w:val="auto"/>
        </w:rPr>
        <w:t xml:space="preserve"> </w:t>
      </w:r>
      <w:r>
        <w:rPr>
          <w:rFonts w:ascii="Arial" w:cs="Arial" w:eastAsia="Arial" w:hAnsi="Arial"/>
          <w:sz w:val="17"/>
          <w:szCs w:val="17"/>
          <w:color w:val="auto"/>
        </w:rPr>
        <w:t>drug in the Medical Insurance Catalogs can substantially improve the sales of a drug in China. The Ministry of Labor and Social Security in China (“MLSS”) together with other government authorities, select medicines to be included in the Medical Insurance Catalogs based on a variety of factors, including treatment requirements, frequency of use, effectiveness and price. The MLSS also occasionally removes medicines from such catalogs. There can be no assurance that roxadustat will be included, and once included, remain in the Medical Insurance Catalogs. The exclusion or removal of roxadustat from the Medical Insurance Catalogs may materially and adversely affect sales of roxadustat.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FG-5200 can be manufactured successfully and achieve regulatory approval, we may not achieve commercial success.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not yet received a license to manufacture FG-5200 in our Beijing manufacturing facility or at scale, and we will have to show that FG-5200 produced in our China manufacturing facility meets the applicable regulatory requirements. There can be no assurance that we can meet these requirements or that FG-5200 can be approved for development, manufacture and sale in China.</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Even if we are able to manufacture and develop FG-5200 as a medical device in China, the size and length of any potential clinical trials required for approval are uncertain and we are unable to predict the time and investment required to obtain regulatory approval. Moreover, even if FG-5200 can be successfully developed for approval in China, our product candidate would require extensive training and investment in assisting physicians in the use of FG-5200.</w:t>
      </w:r>
    </w:p>
    <w:p>
      <w:pPr>
        <w:spacing w:after="0" w:line="25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retail prices of any product candidates that we develop may be subject to control, including periodic downward adjustment, by Chinese government authorities.</w:t>
      </w:r>
    </w:p>
    <w:p>
      <w:pPr>
        <w:spacing w:after="0" w:line="6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price for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our planned business activities in China fall within a restricted category under the China Catalog for Guidance for Foreign Investment, we will need to operate in China through a variable interest entity (“VIE”) structure.</w:t>
      </w:r>
    </w:p>
    <w:p>
      <w:pPr>
        <w:spacing w:after="0" w:line="6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China Catalog for Guidance for Foreign Investment sets forth the industries and sectors that the Chinese government encourages and restricts with respect to foreign investment and participation. The Catalog for Guidance for Foreign Investment is subject to revision from time to time by the China Ministry of Commerce. While we currently do not believe the development and marketing of roxadustat falls within a restricted category under the Catalog for Guidance for Foreign Investment, if roxadustat does fall under such a restricted category, we will need to operate in China through a VIE structure. A VIE structure involves a wholly foreign-owned enterprise that would control and receive the economic benefits of a domestic Chinese company through various contractual relationships. Such a structure would subject us to a number of risks that may have an adverse effect on our business, including that the Chinese government may determine that such contractual arrangements do not comply with applicable regulations, Chinese tax authorities may require us to pay additional taxes, shareholders of our VIEs may have potential conflicts of interest with us, and we may lose the ability to use and enjoy assets held by our VIEs that are important to the operations of our business if such entities go bankrupt or become subject to dissolution or liquidation proceedings. VIE structures in China have come under increasing scrutiny from accounting firms and the Securities and Exchange Commission (“SEC”) staff. If we do attempt to use a VIE structure and are unsuccessful in structuring it so as to qualify as a VIE, we would not be able to consolidate the financial statements of the VIE with our financial statements, which could have a material adverse effect on our operating results and financial condition.</w:t>
      </w:r>
    </w:p>
    <w:p>
      <w:pPr>
        <w:spacing w:after="0" w:line="27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FibroGen Beijing would be subject to restrictions on paying dividends or making other payments to us, which may restrict our ability to satisfy our liquidity requirements.*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plan to conduct all of our business in China through FibroGen China and FibroGen Beijing. We may rely on dividends and royalties paid by FibroGen Beijing for a portion of our cash needs, including the funds necessary to service any debt we may incur and to pay our operating costs and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September 30, 2019, approximately $6.9 million of our cash and cash equivalents is held in China.</w:t>
      </w:r>
    </w:p>
    <w:p>
      <w:pPr>
        <w:spacing w:after="0" w:line="2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to fund our Chinese operations, and the liquidity and financial position of FibroGen Beijing may be materially and adversely affected.</w:t>
      </w:r>
    </w:p>
    <w:p>
      <w:pPr>
        <w:spacing w:after="0" w:line="29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6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value of the Renminbi against the U.S. dollar, Euro and other currencies is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(“SAFE”) by complying with certain procedural requirements. However, approval from SAFE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 inefficiencies associated with our offshore corporate structure.*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we and our foreign subsidiaries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spacing w:after="0" w:line="18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December 22, 2017, the U.S. enacted the Tax Cuts and Jobs Act (“Tax Act”) that instituted fundamental changes to the taxation of multinational corporations. The Tax Act includes changes to the taxation of foreign earnings by implementing a dividend exemption system, expansion of the current anti-deferral rules, a minimum tax on low-taxed foreign earnings and new measures to deter base erosion. The Tax Act also includes a permanent reduction in the corporate tax rate to 21%, repeal of the corporate alternative minimum tax, expensing of capital investment, and limitation of the deduction for interest expense. Furthermore, as part of the transition to the new tax system, a one-time transition tax is imposed on a U.S. shareholder’s historical undistributed earnings of foreign affiliates. There have been developing interpretations of the provisions of the Tax Act, including changes and issuance of new U.S. Treasury regulations, administrative interpretations, or court decisions since its inception. As regulations and guidance evolve with respect to the Tax Act, we continue to examine the impact to our business, which could have a material adverse effect on our business, results of operations or financial condition.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foreign operations, particularly those in China, are subject to significant risks involving the protection of intellectual property.</w:t>
      </w:r>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laws and regulations governing corruption, which will require us to develop, maintain, and implement costly compliance programs.</w:t>
      </w:r>
    </w:p>
    <w:p>
      <w:pPr>
        <w:spacing w:after="0" w:line="14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must comply with a wide range of laws and regulations to prevent corruption, bribery, and other unethical business practices, including the FCPA, anti-bribery and anti-corruption laws in other countries, particularly China. The creation and implementation of international business practices compliance programs is costly and such programs are difficult to enforce, particularly where reliance on third parties is required.</w:t>
      </w:r>
    </w:p>
    <w:p>
      <w:pPr>
        <w:spacing w:after="0" w:line="1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6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the pharmaceutical industry, corrupt practices include, among others, acceptance of kickbacks, bribes or other illegal gains or benefits by the hospitals and medical practitioners from pharmaceutical manufacturers, distributors or their third-party agents in connection with the prescription of certain pharmaceuticals. If our employees, affiliates, distributors or third-party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China legal system could have a material adverse effect on us.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legal system of China is a civil law system primarily based on written statutes. 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Navigating the uncertainty and change in the China legal system will require the devotion of significant resources and time, and there can be no assurance that our contractual and other rights will ultimately be enforced.</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China’s economic, political or social conditions or government policies could have a material adverse effect on our business and operations.*</w:t>
      </w:r>
    </w:p>
    <w:p>
      <w:pPr>
        <w:spacing w:after="0" w:line="15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Chinese society and the Chinese economy continue to undergo significant change. Changes in the regulatory structure, regulations,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As the Chinese pharmaceutical industry grows and evolves, the Chinese government may also implement measures to change the regulatory structure and structure of foreign investment in this industry. We are unable to predict the frequency and scope of such policy changes and structural changes, any of which could materially and adversely affect FibroGen Beijing’s development and commercialization timelines, liquidity, access to capital, and its ability to conduct business in China. Any failure on our part to comply with changing government regulations and policies could result in the loss of our ability to develop and commercialize our product candidates in China. In addition, the changing government regulations and policies could result in delays and cost increases to our development, manufacturing, approval, and commercialization timelines in China.</w:t>
      </w:r>
    </w:p>
    <w:p>
      <w:pPr>
        <w:spacing w:after="0" w:line="29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 relating to the United Kingdom’s referendum vote in favor of leaving the EU could adversely affect us.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United Kingdom held a referendum on June 23, 2016 in which a majority voted for the United Kingdom’s withdrawal from the EU, commonly referred to as “Brexit”. As a result of this vote, negotiations are expected to commence to determine the terms of the United Kingdom’s withdrawal from the EU as well as its relationship with the EU going forward, including the terms of trade between the United Kingdom and the EU. The effects of the United Kingdom’s withdrawal from the EU, and the perceptions as to its impact, are expected to be far-reaching and may adversely affect business activity and economic conditions in Europe and globally and could continue to contribute to instability in global financial markets, including foreign exchange markets. The United Kingdom’s withdrawal from the EU could also have the effect of disrupting the free movement of goods, services and people between the United Kingdom and the EU and could also lead to legal uncertainty and potentially divergent national laws and regulations as the United Kingdom determines which EU laws to replace or replicate, including laws that could impact our ability, or our collaborator’s ability in the case of roxadustat, to obtain approval of our products or sell our products in the United Kingdom. However, the full effects of such withdrawal are uncertain and will depend on any agreements the United Kingdom may make to retain access to EU markets. Lastly, as a result of the United Kingdom’s withdrawal from the EU, other European countries may seek to conduct referenda with respect to their continuing membership with the EU. Given these possibilities and others we may not anticipate, as well as the lack of comparable precedent, the full extent to which our business, results of operations and financial condition could be adversely affected by the United Kingdom’s withdrawal from the EU is uncertain.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and we continue to undertake the efforts and expense to operate as a public reporting company, we expect that we will need to increase the responsibilities on members of management in order to manage any future growth effectively. Our failure to accomplish any of these steps could prevent us from successfully implementing our strategy and maintaining the confidence of investors in our Company.</w:t>
      </w:r>
    </w:p>
    <w:p>
      <w:pPr>
        <w:spacing w:after="0" w:line="28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Loss of senior management and key personnel, including the recent passing of our founder, chairman and chief executive officer, could adversely affect our ability to successfully develop our product candidates, conduct our clinical trials and commercialize our product candidates.*</w:t>
      </w:r>
    </w:p>
    <w:p>
      <w:pPr>
        <w:spacing w:after="0" w:line="16"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We are highly dependent on members of our senior management team, in particular our chief executive officer. On August 26, 2019, we announced the passing of Thomas B. Neff, our founder, chairman and chief executive officer. It was concurrently announced that James Schoeneck, a longtime member of our Board of Directors, was appointed as interim chief executive officer and that the Board of Directors would pursue the search for a permanent chief executive officer. The transitions in our executive team over the next year or more may be disruptive to our operations. The loss of the services of Mr. Neff and the potential delay with finding a permanent CEO could significantly negatively impact the development and commercialization of our product candidates, our existing collaborative relationships, and our ability to successfully implement our business strategy.</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Recruiting and retaining qualified commercial, development, scientific, clinical, and manufacturing personnel are and will continue to be critical to our success, particularly as we expand our commercialization operations.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7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64" w:lineRule="exact"/>
        <w:rPr>
          <w:sz w:val="20"/>
          <w:szCs w:val="20"/>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termination of further development of unapproved product candidates or significantly reduced demand for any approved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material costs and expenses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diversion of time and resources across the entire organization, including our executive management;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product recalls, withdrawals or labeling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our collaboration partners;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reputational damage negatively impacting our other product candidates in development.</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June 2017,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p>
    <w:p>
      <w:pPr>
        <w:spacing w:after="0" w:line="2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depend on sophisticated information technology systems to operate our business and a cyber-attack or other breach of these systems could have a material adverse effect on our business.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rely on information technology systems to process, transmit and store electronic information in our day-to-day operations. The size and complexity of our information technology systems makes them vulnerable to a cyber-attack, malicious intrusion, breakdown, destruction, loss of data privacy or other significant disruption. While we have recently upgraded our disaster data recovery program, a successful attack could result in the theft or destruction of intellectual property, data, or other misappropriation of assets, or otherwise compromise our confidential or proprietary information and disrupt our operations. Cyber-attacks are becoming more sophisticated and frequent. We have invested in our systems and the protection and recoverability of our data to reduce the risk of an intrusion or interruption, and we monitor and test our systems on an ongoing basis for any current or potential threats. There can be no assurance that these measures and efforts will prevent future interruptions or breakdowns. If we fail to maintain or protect our information technology systems and data integrity effectively or fail to anticipate, plan for or manage significant disruptions to these systems, we could have difficulty preventing, detecting and controlling such cyber-attacks and any such attacks could result in losses described above as well as disputes with physicians, patients and our partners, regulatory sanctions or penalties, increases in operating costs and expenses, expenses or lost revenues or other adverse consequences, any of which could have a material adverse effect on our business, results of operations, financial condition, prospects and cash flows.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Our headquarters and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results of operations and financial condition.</w:t>
      </w:r>
    </w:p>
    <w:p>
      <w:pPr>
        <w:spacing w:after="0" w:line="7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and some of the third-party service providers on which we depend for various support functions, such as data storage,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you may not be able to resell your shares at or above your purchase price.</w:t>
      </w:r>
    </w:p>
    <w:p>
      <w:pPr>
        <w:spacing w:after="0" w:line="14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63" w:lineRule="exact"/>
        <w:rPr>
          <w:sz w:val="20"/>
          <w:szCs w:val="20"/>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including roxadustat and pamrevlumab;</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of the release of results of and regulatory updates regarding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safety issues with respect to our product candidates or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and any approved products or our competitors’ products;</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adverse developments concerning our collaborations and our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termination of a collaboration or the inability to establish additional collaborations;</w:t>
      </w:r>
    </w:p>
    <w:p>
      <w:pPr>
        <w:spacing w:after="0" w:line="117" w:lineRule="exact"/>
        <w:rPr>
          <w:rFonts w:ascii="Arial" w:cs="Arial" w:eastAsia="Arial" w:hAnsi="Arial"/>
          <w:sz w:val="18"/>
          <w:szCs w:val="18"/>
          <w:color w:val="auto"/>
        </w:rPr>
      </w:pPr>
    </w:p>
    <w:p>
      <w:pPr>
        <w:ind w:left="1040" w:right="76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publication of research reports by securities analysts about us or our competitors or our industry or negative recommendations or withdrawal of research coverage by securities analysts;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inability to obtain adequate product supply for any approved drug product or inability to do so at acceptable prices;</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ineffectiveness of our internal controls;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announced strategic decisions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legislation or other regulatory developments affecting our product candidates or our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fluctuations in the valuation of the biotechnology industry and particular companies perceived by investors to be comparable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activities of the government of China, including those related to the pharmaceutical industry as well as industrial policy generally;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performance of other U.S. publicly traded companies with significant operations in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natural disasters such as earthquakes and other calamities;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9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We have broad discretion in the use of the remaining net proceeds from our underwritten public offerings of common stock completed on April 11, 2017 (the “April 2017 Offering”) and August 24, 2017 (the “August 2017 Offering”) and may not use them effectively.</w:t>
      </w:r>
    </w:p>
    <w:p>
      <w:pPr>
        <w:spacing w:after="0" w:line="3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net proceeds from the April 2017 Offering is intended to be used to fund the expansion of product development in China, including developing roxadustat in additional indications beyond CKD, manufacturing and commercialization activities, as well as for general corporate purposes. The net proceeds from the August 2017 Offering is intended to be used to fund the expansion of product development, including our development of pamrevlumab through Phase 3 trials, manufacturing and commercialization activities, as well as for general corporate purposes. These general corporate purposes, may include, among other things, funding research and development, clinical trials, vendor payables, potential regulatory submissions, hiring additional personnel and capital expenditures. However, we have no current commitments or obligations to use the net proceeds in the manner described above. Our management has broad discretion in the application of the remaining net proceeds from the April 2017 Offering and the August 2017 Offering, and could spend the remaining net proceeds in ways our stockholders may not agree with or that fails to improve our business or enhance the value of our common stock. The failure by our management to use these funds effectively could result in financial losses that could harm our business, cause the price of our common stock to decline and delay the development of our product candidates.</w:t>
      </w:r>
    </w:p>
    <w:p>
      <w:pPr>
        <w:spacing w:after="0" w:line="28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reports about our business, or if they change their recommendations regarding our stock adversely, our stock price and trading volume could decline.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 analysts who cover us downgrade our stock, our stock price would likely decline. If one or more of these analysts cease coverage of our Company or fail to regularly publish reports on us, we could lose visibility in the financial markets, which in turn could cause our stock price or trading volume to decline.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6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of October 31, 2019, our executive officers, directors and principal stockholders, together with their respective affiliates, owned approximately 28.00% of our common stock, including shares subject to outstanding options that are exercisable within 60 days after such date and shares issuable upon settlement of restricted stock units that will vest within 60 days after such date. This percentage is based upon information supplied by officers, directors and principal stockholders and Schedules 13D and 13G, if any, filed with the SEC, which information may not be accurate as of April 30, 2019.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30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Additional remedial measures that may be imposed in the proceedings instituted by the SEC against five China based accounting firms, including the Chinese affiliate of our independent registered public accounting firm, could result in our consolidated financial statements being determined to not be in compliance with the requirements of the Exchange Act.</w:t>
      </w:r>
    </w:p>
    <w:p>
      <w:pPr>
        <w:spacing w:after="0" w:line="7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late 2012, the SEC commenced administrative proceedings under Rule 102(e) of its Rules of Practice and also under the Sarbanes-Oxley Act of 2002 against the Chinese affiliates of the “big four” accounting firms, including PricewaterhouseCoopers Zhong Tian CPAs Limited, the Chinese affiliate of our independent registered public accounting firm. The Rule 102(e) proceedings initiated by the SEC relate to these firms’ failure to produce documents, including audit work papers, in response to the request of the SEC pursuant to Section 106 of the Sarbanes-Oxley Act of 2002, as the auditors located in China are not in a position lawfully to produce documents directly to the SEC because of restrictions under Chinese law and specific directives issued by the China Securities Regulatory Commission (“CSRC”). The issues raised by the proceedings are not specific to our auditors or to us.</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January 2014, an administrative law judge reached an initial decision that the Chinese affiliates of the “big four” accounting firms should be barred from practicing before the SEC for a period of six months. In February 2015, the Chinese affiliates of the “big four”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If future document productions fail to meet specified criteria, the SEC retains authority to impose a variety of additional remedial measures on the firms depending on the nature of the failure.</w:t>
      </w:r>
    </w:p>
    <w:p>
      <w:pPr>
        <w:spacing w:after="0" w:line="19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cannot predict if the SEC will further review the four firms’ compliance with specified criteria or if such further review would result in the SEC imposing additional penalties such as suspensions or commencing any further administrative proceedings. Although it does not play a substantial role (as defined under PCAOB standards) in the audit of our consolidated financial statements, if PricewaterhouseCoopers Zhong Tian CPAs Limited were denied, temporarily, the ability to practice before the SEC, our ability to produce audited consolidated financial statements for our Company could be affected and we could be determined not to be in compliance with the requirements of the Exchange Act. Such a determination could ultimately lead to the delisting of our shares from the Nasdaq Global Select Market or deregistration from the SEC, or both, which would substantially reduce or effectively terminate the trading of our stock.</w:t>
      </w:r>
    </w:p>
    <w:p>
      <w:pPr>
        <w:spacing w:after="0" w:line="2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engage in future acquisitions that could disrupt our business, cause dilution to our stockholders and harm our business, results of operations, financial condition and cash flows and future prospects.</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While we currently have no specific plans to acquire any other businesses, we may, in the future, make acquisitions of, or investments in, companies that we believe have products or capabilities that are a strategic or commercial fit with our present or future product candidates and business or otherwise offer opportunities for our Company. In connection with these acquisitions or investments, we may:</w:t>
      </w:r>
    </w:p>
    <w:p>
      <w:pPr>
        <w:spacing w:after="0" w:line="73" w:lineRule="exact"/>
        <w:rPr>
          <w:sz w:val="20"/>
          <w:szCs w:val="20"/>
          <w:color w:val="auto"/>
        </w:rPr>
      </w:pPr>
    </w:p>
    <w:p>
      <w:pPr>
        <w:ind w:left="1040" w:hanging="519"/>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issue stock that would dilute our existing stockholders’ percentage of ownership;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incur debt and assume liabilities;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incur amortization expenses related to intangible assets or incur large and immediate write-offs.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73" w:lineRule="exact"/>
        <w:rPr>
          <w:sz w:val="20"/>
          <w:szCs w:val="20"/>
          <w:color w:val="auto"/>
        </w:rPr>
      </w:pPr>
    </w:p>
    <w:p>
      <w:pPr>
        <w:ind w:left="1040" w:hanging="519"/>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problems integrating the purchased business, products or technologies, or employees or other assets of the acquisition target;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increases to our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disclosed or undisclosed liabilities of the acquired asset or company;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diversion of management’s attention from their day-to-day responsibilities;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reprioritization of our development programs and even cessation of development and commercialization of our current product candidates;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harm to our operating results or financial condition;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entrance into markets in which we have limited or no prior experience;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entity.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may not be able to complete any acquisitions or effectively integrate the operations, products or personnel gained through any such acquisition.</w:t>
      </w:r>
    </w:p>
    <w:p>
      <w:pPr>
        <w:spacing w:after="0" w:line="34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directors or management.</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5" w:lineRule="exact"/>
        <w:rPr>
          <w:sz w:val="20"/>
          <w:szCs w:val="20"/>
          <w:color w:val="auto"/>
        </w:rPr>
      </w:pPr>
    </w:p>
    <w:p>
      <w:pPr>
        <w:ind w:left="1040" w:right="60" w:hanging="519"/>
        <w:spacing w:after="0" w:line="277"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that our directors may be removed prior to the end of their term only for cause;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require a supermajority vote of the holders of our common stock or the majority vote of our board of directors to amend our bylaws; and</w:t>
      </w:r>
    </w:p>
    <w:p>
      <w:pPr>
        <w:spacing w:after="0" w:line="128" w:lineRule="exact"/>
        <w:rPr>
          <w:rFonts w:ascii="Arial" w:cs="Arial" w:eastAsia="Arial" w:hAnsi="Arial"/>
          <w:sz w:val="17"/>
          <w:szCs w:val="17"/>
          <w:color w:val="auto"/>
        </w:rPr>
      </w:pPr>
    </w:p>
    <w:p>
      <w:pPr>
        <w:ind w:left="1040" w:right="200" w:hanging="519"/>
        <w:spacing w:after="0" w:line="277"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provision or exposure to additional tax liabilities could adversely affect our earnings and financial condition.*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are also subject to non-income taxes, such as payroll, sales, use, value-added, net worth, property, gross receipts, and goods and services taxes in the U.S., state and local, and various foreign jurisdictions. We are subject to audit and assessments by tax authorities with respect to these non-income taxes and may have exposure to additional non-income tax liabilities, which could have an adverse effect on our results of operations and financial condition.</w:t>
      </w:r>
    </w:p>
    <w:p>
      <w:pPr>
        <w:spacing w:after="0" w:line="14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addition, our judgment in providing for the possible impact of the Tax Act remains subject to developing interpretations of the provisions of the Tax Act. As regulations and guidance evolve with respect to the Tax Act, we continue to examine the impact to our tax provision or exposure to additional tax liabilities, which could have a material adverse effect on our business, results of operations or financial condition.</w:t>
      </w:r>
    </w:p>
    <w:p>
      <w:pPr>
        <w:spacing w:after="0" w:line="28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9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 and you may never receive a return on your investment.</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November 13, 2014, our Registration Statement on Form S-1, as amended (Reg. Nos. 333-199069 and 333-200189) was declared effective in connection with the initial public offering of our common stock. There has been no material change in the planned use of proceeds from our initial public offering as described in our final prospectus filed with the SEC pursuant to Rule 424(b) under the Securities Act on November 14, 2014.</w:t>
      </w:r>
    </w:p>
    <w:p>
      <w:pPr>
        <w:spacing w:after="0" w:line="166"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On May 2, 2019, we issued an aggregate of 4,430 shares of our common stock to a warrant holder who exercised an outstanding warrant to purchase our common stock at an exercise price of $15.00 per share, for an aggregation consideration of $66,456. This issuance was exempt from registration under Section 4(2) of the Securities Act of 1933, as amended, as sales of securities not involving any public offering.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3"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80" w:type="dxa"/>
            <w:vAlign w:val="bottom"/>
            <w:gridSpan w:val="13"/>
          </w:tcPr>
          <w:p>
            <w:pPr>
              <w:ind w:left="580"/>
              <w:spacing w:after="0"/>
              <w:rPr>
                <w:sz w:val="20"/>
                <w:szCs w:val="20"/>
                <w:color w:val="auto"/>
              </w:rPr>
            </w:pPr>
            <w:r>
              <w:rPr>
                <w:rFonts w:ascii="Arial" w:cs="Arial" w:eastAsia="Arial" w:hAnsi="Arial"/>
                <w:sz w:val="14"/>
                <w:szCs w:val="14"/>
                <w:b w:val="1"/>
                <w:bCs w:val="1"/>
                <w:color w:val="auto"/>
              </w:rPr>
              <w:t>Exhibit Description</w:t>
            </w:r>
          </w:p>
        </w:tc>
      </w:tr>
      <w:tr>
        <w:trPr>
          <w:trHeight w:val="318"/>
        </w:trPr>
        <w:tc>
          <w:tcPr>
            <w:tcW w:w="1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4980" w:type="dxa"/>
            <w:vAlign w:val="bottom"/>
            <w:tcBorders>
              <w:top w:val="single" w:sz="8" w:color="auto"/>
              <w:bottom w:val="single" w:sz="8" w:color="0000EE"/>
            </w:tcBorders>
            <w:gridSpan w:val="13"/>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Amended and Restated Certificate of Incorporation of FibroGen, Inc.</w:t>
              </w:r>
            </w:hyperlink>
          </w:p>
        </w:tc>
        <w:tc>
          <w:tcPr>
            <w:tcW w:w="380" w:type="dxa"/>
            <w:vAlign w:val="bottom"/>
            <w:tcBorders>
              <w:top w:val="single" w:sz="8" w:color="auto"/>
            </w:tcBorders>
            <w:gridSpan w:val="5"/>
          </w:tcPr>
          <w:p>
            <w:pPr>
              <w:spacing w:after="0"/>
              <w:rPr>
                <w:sz w:val="24"/>
                <w:szCs w:val="24"/>
                <w:color w:val="auto"/>
              </w:rPr>
            </w:pPr>
          </w:p>
        </w:tc>
      </w:tr>
      <w:tr>
        <w:trPr>
          <w:trHeight w:val="291"/>
        </w:trPr>
        <w:tc>
          <w:tcPr>
            <w:tcW w:w="106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3540" w:type="dxa"/>
            <w:vAlign w:val="bottom"/>
            <w:tcBorders>
              <w:bottom w:val="single" w:sz="8" w:color="0000EE"/>
            </w:tcBorders>
            <w:gridSpan w:val="8"/>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Amended and Restated Bylaws of FibroGen, Inc.</w:t>
              </w:r>
            </w:hyperlink>
          </w:p>
        </w:tc>
        <w:tc>
          <w:tcPr>
            <w:tcW w:w="1820" w:type="dxa"/>
            <w:vAlign w:val="bottom"/>
            <w:gridSpan w:val="10"/>
          </w:tcPr>
          <w:p>
            <w:pPr>
              <w:spacing w:after="0"/>
              <w:rPr>
                <w:sz w:val="24"/>
                <w:szCs w:val="24"/>
                <w:color w:val="auto"/>
              </w:rPr>
            </w:pPr>
          </w:p>
        </w:tc>
      </w:tr>
      <w:tr>
        <w:trPr>
          <w:trHeight w:val="291"/>
        </w:trPr>
        <w:tc>
          <w:tcPr>
            <w:tcW w:w="106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600" w:type="dxa"/>
            <w:vAlign w:val="bottom"/>
            <w:tcBorders>
              <w:bottom w:val="single" w:sz="8" w:color="0000EE"/>
            </w:tcBorders>
            <w:gridSpan w:val="6"/>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Form of Common Stock Certificate.</w:t>
              </w:r>
            </w:hyperlink>
          </w:p>
        </w:tc>
        <w:tc>
          <w:tcPr>
            <w:tcW w:w="2760" w:type="dxa"/>
            <w:vAlign w:val="bottom"/>
            <w:gridSpan w:val="12"/>
          </w:tcPr>
          <w:p>
            <w:pPr>
              <w:spacing w:after="0"/>
              <w:rPr>
                <w:sz w:val="24"/>
                <w:szCs w:val="24"/>
                <w:color w:val="auto"/>
              </w:rPr>
            </w:pPr>
          </w:p>
        </w:tc>
      </w:tr>
      <w:tr>
        <w:trPr>
          <w:trHeight w:val="601"/>
        </w:trPr>
        <w:tc>
          <w:tcPr>
            <w:tcW w:w="1060" w:type="dxa"/>
            <w:vAlign w:val="bottom"/>
          </w:tcPr>
          <w:p>
            <w:pPr>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5240" w:type="dxa"/>
            <w:vAlign w:val="bottom"/>
            <w:tcBorders>
              <w:bottom w:val="single" w:sz="8" w:color="0000EE"/>
            </w:tcBorders>
            <w:gridSpan w:val="15"/>
          </w:tcPr>
          <w:p>
            <w:pPr>
              <w:spacing w:after="0"/>
              <w:rPr>
                <w:rFonts w:ascii="Arial" w:cs="Arial" w:eastAsia="Arial" w:hAnsi="Arial"/>
                <w:sz w:val="18"/>
                <w:szCs w:val="18"/>
                <w:color w:val="0000EE"/>
                <w:w w:val="89"/>
              </w:rPr>
            </w:pPr>
            <w:hyperlink r:id="rId112">
              <w:r>
                <w:rPr>
                  <w:rFonts w:ascii="Arial" w:cs="Arial" w:eastAsia="Arial" w:hAnsi="Arial"/>
                  <w:sz w:val="18"/>
                  <w:szCs w:val="18"/>
                  <w:color w:val="0000EE"/>
                  <w:w w:val="89"/>
                </w:rPr>
                <w:t>Common Stock Purchase Agreement by and between FibroGen, Inc. and</w:t>
              </w:r>
            </w:hyperlink>
          </w:p>
        </w:tc>
        <w:tc>
          <w:tcPr>
            <w:tcW w:w="12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60" w:type="dxa"/>
            <w:vAlign w:val="bottom"/>
            <w:gridSpan w:val="18"/>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AstraZeneca AB, dated as of October 20, 2014.</w:t>
              </w:r>
            </w:hyperlink>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1060" w:type="dxa"/>
            <w:vAlign w:val="bottom"/>
          </w:tcPr>
          <w:p>
            <w:pPr>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4600" w:type="dxa"/>
            <w:vAlign w:val="bottom"/>
            <w:tcBorders>
              <w:bottom w:val="single" w:sz="8" w:color="0000EE"/>
            </w:tcBorders>
            <w:gridSpan w:val="9"/>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Shareholders’ Agreement by and among FibroGen International</w:t>
              </w:r>
            </w:hyperlink>
          </w:p>
        </w:tc>
        <w:tc>
          <w:tcPr>
            <w:tcW w:w="760" w:type="dxa"/>
            <w:vAlign w:val="bottom"/>
            <w:gridSpan w:val="9"/>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60" w:type="dxa"/>
            <w:vAlign w:val="bottom"/>
            <w:gridSpan w:val="18"/>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(Cayman) Limited and certain of its shareholders, dated as of September</w:t>
              </w:r>
            </w:hyperlink>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13">
              <w:r>
                <w:rPr>
                  <w:rFonts w:ascii="Arial" w:cs="Arial" w:eastAsia="Arial" w:hAnsi="Arial"/>
                  <w:sz w:val="18"/>
                  <w:szCs w:val="18"/>
                  <w:color w:val="0000EE"/>
                  <w:w w:val="86"/>
                </w:rPr>
                <w:t>8, 2017.</w:t>
              </w:r>
            </w:hyperlink>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91"/>
        </w:trPr>
        <w:tc>
          <w:tcPr>
            <w:tcW w:w="106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466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93">
              <w:r>
                <w:rPr>
                  <w:rFonts w:ascii="Arial" w:cs="Arial" w:eastAsia="Arial" w:hAnsi="Arial"/>
                  <w:sz w:val="18"/>
                  <w:szCs w:val="18"/>
                  <w:color w:val="0000EE"/>
                  <w:w w:val="91"/>
                </w:rPr>
                <w:t>FibroGen, Inc. Non-Employee Director Compensation Policy, as</w:t>
              </w:r>
            </w:hyperlink>
          </w:p>
        </w:tc>
        <w:tc>
          <w:tcPr>
            <w:tcW w:w="700" w:type="dxa"/>
            <w:vAlign w:val="bottom"/>
            <w:gridSpan w:val="8"/>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60" w:type="dxa"/>
            <w:vAlign w:val="bottom"/>
            <w:gridSpan w:val="18"/>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amended.</w:t>
              </w:r>
            </w:hyperlink>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106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526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96">
              <w:r>
                <w:rPr>
                  <w:rFonts w:ascii="Arial" w:cs="Arial" w:eastAsia="Arial" w:hAnsi="Arial"/>
                  <w:sz w:val="18"/>
                  <w:szCs w:val="18"/>
                  <w:color w:val="0000EE"/>
                  <w:w w:val="88"/>
                </w:rPr>
                <w:t>Offer Letter, by and between FibroGen, Inc. and James Schoeneck, dated</w:t>
              </w:r>
            </w:hyperlink>
          </w:p>
        </w:tc>
        <w:tc>
          <w:tcPr>
            <w:tcW w:w="10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60" w:type="dxa"/>
            <w:vAlign w:val="bottom"/>
            <w:gridSpan w:val="18"/>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September 18, 2019.</w:t>
              </w:r>
            </w:hyperlink>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30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99">
              <w:r>
                <w:rPr>
                  <w:rFonts w:ascii="Arial" w:cs="Arial" w:eastAsia="Arial" w:hAnsi="Arial"/>
                  <w:sz w:val="18"/>
                  <w:szCs w:val="18"/>
                  <w:color w:val="0000EE"/>
                  <w:w w:val="92"/>
                </w:rPr>
                <w:t>Certification of Chief Executive Officer, as required by Rule 13a-14(a) or</w:t>
              </w:r>
            </w:hyperlink>
          </w:p>
        </w:tc>
        <w:tc>
          <w:tcPr>
            <w:tcW w:w="6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Rule 15d-14(a).</w:t>
              </w:r>
            </w:hyperlink>
          </w:p>
        </w:tc>
        <w:tc>
          <w:tcPr>
            <w:tcW w:w="4220" w:type="dxa"/>
            <w:vAlign w:val="bottom"/>
            <w:gridSpan w:val="14"/>
          </w:tcPr>
          <w:p>
            <w:pPr>
              <w:spacing w:after="0"/>
              <w:rPr>
                <w:sz w:val="17"/>
                <w:szCs w:val="17"/>
                <w:color w:val="auto"/>
              </w:rPr>
            </w:pPr>
          </w:p>
        </w:tc>
      </w:tr>
      <w:tr>
        <w:trPr>
          <w:trHeight w:val="291"/>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360" w:type="dxa"/>
            <w:vAlign w:val="bottom"/>
            <w:gridSpan w:val="18"/>
          </w:tcPr>
          <w:p>
            <w:pPr>
              <w:spacing w:after="0"/>
              <w:rPr>
                <w:rFonts w:ascii="Arial" w:cs="Arial" w:eastAsia="Arial" w:hAnsi="Arial"/>
                <w:sz w:val="18"/>
                <w:szCs w:val="18"/>
                <w:color w:val="0000EE"/>
                <w:w w:val="94"/>
              </w:rPr>
            </w:pPr>
            <w:hyperlink w:anchor="page100">
              <w:r>
                <w:rPr>
                  <w:rFonts w:ascii="Arial" w:cs="Arial" w:eastAsia="Arial" w:hAnsi="Arial"/>
                  <w:sz w:val="18"/>
                  <w:szCs w:val="18"/>
                  <w:color w:val="0000EE"/>
                  <w:w w:val="94"/>
                </w:rPr>
                <w:t>Certification of Chief Financial Officer, as required by Rule 13a-14(a) or</w:t>
              </w:r>
            </w:hyperlink>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Rule 15d-14(a).</w:t>
              </w:r>
            </w:hyperlink>
          </w:p>
        </w:tc>
        <w:tc>
          <w:tcPr>
            <w:tcW w:w="4100" w:type="dxa"/>
            <w:vAlign w:val="bottom"/>
            <w:tcBorders>
              <w:top w:val="single" w:sz="8" w:color="0000EE"/>
            </w:tcBorders>
            <w:gridSpan w:val="11"/>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291"/>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484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101">
              <w:r>
                <w:rPr>
                  <w:rFonts w:ascii="Arial" w:cs="Arial" w:eastAsia="Arial" w:hAnsi="Arial"/>
                  <w:sz w:val="18"/>
                  <w:szCs w:val="18"/>
                  <w:color w:val="0000EE"/>
                  <w:w w:val="93"/>
                </w:rPr>
                <w:t>Certification of Principal Executive Officer and Principal Financial</w:t>
              </w:r>
            </w:hyperlink>
          </w:p>
        </w:tc>
        <w:tc>
          <w:tcPr>
            <w:tcW w:w="520" w:type="dxa"/>
            <w:vAlign w:val="bottom"/>
            <w:gridSpan w:val="7"/>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60" w:type="dxa"/>
            <w:vAlign w:val="bottom"/>
            <w:gridSpan w:val="18"/>
          </w:tcPr>
          <w:p>
            <w:pPr>
              <w:spacing w:after="0" w:line="196" w:lineRule="exact"/>
              <w:rPr>
                <w:rFonts w:ascii="Arial" w:cs="Arial" w:eastAsia="Arial" w:hAnsi="Arial"/>
                <w:sz w:val="18"/>
                <w:szCs w:val="18"/>
                <w:color w:val="0000EE"/>
                <w:w w:val="97"/>
              </w:rPr>
            </w:pPr>
            <w:hyperlink w:anchor="page101">
              <w:r>
                <w:rPr>
                  <w:rFonts w:ascii="Arial" w:cs="Arial" w:eastAsia="Arial" w:hAnsi="Arial"/>
                  <w:sz w:val="18"/>
                  <w:szCs w:val="18"/>
                  <w:color w:val="0000EE"/>
                  <w:w w:val="97"/>
                </w:rPr>
                <w:t>Officer, as required by Rule 13a-14(b) or Rule 15d-14(b) and Section</w:t>
              </w:r>
            </w:hyperlink>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top w:val="single" w:sz="8" w:color="0000EE"/>
            </w:tcBorders>
            <w:gridSpan w:val="13"/>
          </w:tcPr>
          <w:p>
            <w:pPr>
              <w:spacing w:after="0" w:line="196" w:lineRule="exact"/>
              <w:rPr>
                <w:rFonts w:ascii="Arial" w:cs="Arial" w:eastAsia="Arial" w:hAnsi="Arial"/>
                <w:sz w:val="18"/>
                <w:szCs w:val="18"/>
                <w:color w:val="0000EE"/>
                <w:w w:val="92"/>
              </w:rPr>
            </w:pPr>
            <w:hyperlink w:anchor="page101">
              <w:r>
                <w:rPr>
                  <w:rFonts w:ascii="Arial" w:cs="Arial" w:eastAsia="Arial" w:hAnsi="Arial"/>
                  <w:sz w:val="18"/>
                  <w:szCs w:val="18"/>
                  <w:color w:val="0000EE"/>
                  <w:w w:val="92"/>
                </w:rPr>
                <w:t>1350 of Chapter 63 of Title 18 of the United States Code (18 U.S.C.</w:t>
              </w:r>
            </w:hyperlink>
          </w:p>
        </w:tc>
        <w:tc>
          <w:tcPr>
            <w:tcW w:w="380" w:type="dxa"/>
            <w:vAlign w:val="bottom"/>
            <w:gridSpan w:val="5"/>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§1350)(1)).</w:t>
              </w:r>
            </w:hyperlink>
          </w:p>
        </w:tc>
        <w:tc>
          <w:tcPr>
            <w:tcW w:w="3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31"/>
        </w:trPr>
        <w:tc>
          <w:tcPr>
            <w:tcW w:w="11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360" w:type="dxa"/>
            <w:vAlign w:val="bottom"/>
            <w:gridSpan w:val="18"/>
          </w:tcPr>
          <w:p>
            <w:pPr>
              <w:spacing w:after="0"/>
              <w:rPr>
                <w:sz w:val="20"/>
                <w:szCs w:val="20"/>
                <w:color w:val="auto"/>
              </w:rPr>
            </w:pPr>
            <w:r>
              <w:rPr>
                <w:rFonts w:ascii="Arial" w:cs="Arial" w:eastAsia="Arial" w:hAnsi="Arial"/>
                <w:sz w:val="18"/>
                <w:szCs w:val="18"/>
                <w:color w:val="auto"/>
              </w:rPr>
              <w:t>Inline XBRL Instance Document</w:t>
            </w:r>
          </w:p>
        </w:tc>
      </w:tr>
      <w:tr>
        <w:trPr>
          <w:trHeight w:val="311"/>
        </w:trPr>
        <w:tc>
          <w:tcPr>
            <w:tcW w:w="11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36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11"/>
        </w:trPr>
        <w:tc>
          <w:tcPr>
            <w:tcW w:w="11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36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11"/>
        </w:trPr>
        <w:tc>
          <w:tcPr>
            <w:tcW w:w="11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36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11"/>
        </w:trPr>
        <w:tc>
          <w:tcPr>
            <w:tcW w:w="11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36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11"/>
        </w:trPr>
        <w:tc>
          <w:tcPr>
            <w:tcW w:w="11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360" w:type="dxa"/>
            <w:vAlign w:val="bottom"/>
            <w:gridSpan w:val="18"/>
          </w:tcPr>
          <w:p>
            <w:pPr>
              <w:spacing w:after="0"/>
              <w:rPr>
                <w:sz w:val="20"/>
                <w:szCs w:val="20"/>
                <w:color w:val="auto"/>
              </w:rPr>
            </w:pPr>
            <w:r>
              <w:rPr>
                <w:rFonts w:ascii="Arial" w:cs="Arial" w:eastAsia="Arial" w:hAnsi="Arial"/>
                <w:sz w:val="18"/>
                <w:szCs w:val="18"/>
                <w:color w:val="auto"/>
                <w:w w:val="99"/>
              </w:rPr>
              <w:t>Inline XBRL Taxonomy Extension Presentation Linkbase Document</w:t>
            </w:r>
          </w:p>
        </w:tc>
      </w:tr>
    </w:tbl>
    <w:p>
      <w:pPr>
        <w:spacing w:after="0" w:line="80" w:lineRule="exact"/>
        <w:rPr>
          <w:sz w:val="20"/>
          <w:szCs w:val="20"/>
          <w:color w:val="auto"/>
        </w:rPr>
      </w:pPr>
    </w:p>
    <w:p>
      <w:pPr>
        <w:ind w:left="1260" w:right="160" w:hanging="1171"/>
        <w:spacing w:after="0" w:line="342" w:lineRule="auto"/>
        <w:tabs>
          <w:tab w:leader="none" w:pos="12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858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 w:lineRule="exact"/>
        <w:rPr>
          <w:sz w:val="20"/>
          <w:szCs w:val="20"/>
          <w:color w:val="auto"/>
        </w:rPr>
      </w:pPr>
    </w:p>
    <w:p>
      <w:pPr>
        <w:ind w:left="520" w:hanging="512"/>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Incorporation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Form</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SEC File No.</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320"/>
              <w:spacing w:after="0" w:line="155" w:lineRule="exact"/>
              <w:rPr>
                <w:sz w:val="20"/>
                <w:szCs w:val="20"/>
                <w:color w:val="auto"/>
              </w:rPr>
            </w:pPr>
            <w:r>
              <w:rPr>
                <w:rFonts w:ascii="Arial" w:cs="Arial" w:eastAsia="Arial" w:hAnsi="Arial"/>
                <w:sz w:val="14"/>
                <w:szCs w:val="14"/>
                <w:b w:val="1"/>
                <w:bCs w:val="1"/>
                <w:color w:val="auto"/>
              </w:rPr>
              <w:t>Exhibit</w:t>
            </w: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Filing Date</w:t>
            </w:r>
          </w:p>
        </w:tc>
      </w:tr>
      <w:tr>
        <w:trPr>
          <w:trHeight w:val="358"/>
        </w:trPr>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11/21/2014</w:t>
            </w:r>
          </w:p>
        </w:tc>
      </w:tr>
      <w:tr>
        <w:trPr>
          <w:trHeight w:val="311"/>
        </w:trPr>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10/23/2014</w:t>
            </w:r>
          </w:p>
        </w:tc>
      </w:tr>
      <w:tr>
        <w:trPr>
          <w:trHeight w:val="311"/>
        </w:trPr>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11/21/2014</w:t>
            </w:r>
          </w:p>
        </w:tc>
      </w:tr>
      <w:tr>
        <w:trPr>
          <w:trHeight w:val="621"/>
        </w:trPr>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10/24/2014</w:t>
            </w:r>
          </w:p>
        </w:tc>
      </w:tr>
      <w:tr>
        <w:trPr>
          <w:trHeight w:val="527"/>
        </w:trPr>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11/8/2017</w:t>
            </w:r>
          </w:p>
        </w:tc>
      </w:tr>
      <w:tr>
        <w:trPr>
          <w:trHeight w:val="743"/>
        </w:trPr>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27"/>
        </w:trPr>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27"/>
        </w:trPr>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27"/>
        </w:trPr>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27"/>
        </w:trPr>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959"/>
        </w:trPr>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11"/>
        </w:trPr>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11"/>
        </w:trPr>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11"/>
        </w:trPr>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11"/>
        </w:trPr>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11"/>
        </w:trPr>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11"/>
        </w:trPr>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ectPr>
          <w:pgSz w:w="11900" w:h="16838" w:orient="portrait"/>
          <w:cols w:equalWidth="0" w:num="2">
            <w:col w:w="6620" w:space="100"/>
            <w:col w:w="4620"/>
          </w:cols>
          <w:pgMar w:left="240" w:top="125" w:right="31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FibroGen, Inc.</w:t>
            </w:r>
          </w:p>
        </w:tc>
      </w:tr>
      <w:tr>
        <w:trPr>
          <w:trHeight w:val="20"/>
        </w:trPr>
        <w:tc>
          <w:tcPr>
            <w:tcW w:w="38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480"/>
        </w:trPr>
        <w:tc>
          <w:tcPr>
            <w:tcW w:w="3820" w:type="dxa"/>
            <w:vAlign w:val="bottom"/>
          </w:tcPr>
          <w:p>
            <w:pPr>
              <w:spacing w:after="0"/>
              <w:rPr>
                <w:sz w:val="20"/>
                <w:szCs w:val="20"/>
                <w:color w:val="auto"/>
              </w:rPr>
            </w:pPr>
            <w:r>
              <w:rPr>
                <w:rFonts w:ascii="Arial" w:cs="Arial" w:eastAsia="Arial" w:hAnsi="Arial"/>
                <w:sz w:val="18"/>
                <w:szCs w:val="18"/>
                <w:color w:val="auto"/>
              </w:rPr>
              <w:t>Dated: November 12, 2019</w:t>
            </w:r>
          </w:p>
        </w:tc>
        <w:tc>
          <w:tcPr>
            <w:tcW w:w="21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By: /s/ James Schoeneck</w:t>
            </w:r>
          </w:p>
        </w:tc>
      </w:tr>
      <w:tr>
        <w:trPr>
          <w:trHeight w:val="195"/>
        </w:trPr>
        <w:tc>
          <w:tcPr>
            <w:tcW w:w="38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1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James Schoeneck</w:t>
            </w:r>
          </w:p>
        </w:tc>
      </w:tr>
      <w:tr>
        <w:trPr>
          <w:trHeight w:val="216"/>
        </w:trPr>
        <w:tc>
          <w:tcPr>
            <w:tcW w:w="38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Interim Chief Executive Officer</w:t>
            </w:r>
          </w:p>
        </w:tc>
      </w:tr>
      <w:tr>
        <w:trPr>
          <w:trHeight w:val="230"/>
        </w:trPr>
        <w:tc>
          <w:tcPr>
            <w:tcW w:w="38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Dated: November 12, 2019</w:t>
            </w:r>
          </w:p>
        </w:tc>
        <w:tc>
          <w:tcPr>
            <w:tcW w:w="21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By: /s/ Pat Cotroneo</w:t>
            </w:r>
          </w:p>
        </w:tc>
      </w:tr>
      <w:tr>
        <w:trPr>
          <w:trHeight w:val="195"/>
        </w:trPr>
        <w:tc>
          <w:tcPr>
            <w:tcW w:w="38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1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Pat Cotroneo</w:t>
            </w:r>
          </w:p>
        </w:tc>
      </w:tr>
      <w:tr>
        <w:trPr>
          <w:trHeight w:val="216"/>
        </w:trPr>
        <w:tc>
          <w:tcPr>
            <w:tcW w:w="38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Senior Vice President, Finance and Chief Financial Officer</w:t>
            </w:r>
          </w:p>
        </w:tc>
      </w:tr>
      <w:tr>
        <w:trPr>
          <w:trHeight w:val="230"/>
        </w:trPr>
        <w:tc>
          <w:tcPr>
            <w:tcW w:w="38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864"/>
        </w:trPr>
        <w:tc>
          <w:tcPr>
            <w:tcW w:w="3820" w:type="dxa"/>
            <w:vAlign w:val="bottom"/>
          </w:tcPr>
          <w:p>
            <w:pPr>
              <w:spacing w:after="0"/>
              <w:rPr>
                <w:sz w:val="24"/>
                <w:szCs w:val="24"/>
                <w:color w:val="auto"/>
              </w:rPr>
            </w:pP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10.6</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31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Non-Employee Director Compensation Policy (the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documents the terms and conditions of the cash and equity compensation that non-employee members of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FibroGen, Inc. (“</w:t>
      </w:r>
      <w:r>
        <w:rPr>
          <w:rFonts w:ascii="Arial" w:cs="Arial" w:eastAsia="Arial" w:hAnsi="Arial"/>
          <w:sz w:val="18"/>
          <w:szCs w:val="18"/>
          <w:b w:val="1"/>
          <w:bCs w:val="1"/>
          <w:i w:val="1"/>
          <w:iCs w:val="1"/>
          <w:color w:val="auto"/>
        </w:rPr>
        <w:t>FibroGen</w:t>
      </w:r>
      <w:r>
        <w:rPr>
          <w:rFonts w:ascii="Arial" w:cs="Arial" w:eastAsia="Arial" w:hAnsi="Arial"/>
          <w:sz w:val="18"/>
          <w:szCs w:val="18"/>
          <w:color w:val="auto"/>
        </w:rPr>
        <w:t>”) may earn for their service on the Board from and after the initial public offering of the common stock of FibroGen.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Eligible Directors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Only members of the Board who are not concurrently employees of FibroGen are eligible for compensation under this Policy (each such member, a</w:t>
      </w:r>
    </w:p>
    <w:p>
      <w:pPr>
        <w:spacing w:after="0" w:line="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Any director may also decline compensation per policy of their affiliated entity or for any other reason prior to the start of the period of service to which the compensation relates.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Compensation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annual cash compensation set forth below is payable in equal quarterly installments, in arrears, on the last day of each quarter in which the service occurred, pro-rated for any partial quarters of service. All annual cash fees are vested upon payment.</w:t>
      </w:r>
    </w:p>
    <w:p>
      <w:pPr>
        <w:spacing w:after="0" w:line="170" w:lineRule="exact"/>
        <w:rPr>
          <w:sz w:val="20"/>
          <w:szCs w:val="20"/>
          <w:color w:val="auto"/>
        </w:rPr>
      </w:pPr>
    </w:p>
    <w:p>
      <w:pPr>
        <w:ind w:left="880" w:right="8240" w:hanging="872"/>
        <w:spacing w:after="0" w:line="342" w:lineRule="auto"/>
        <w:tabs>
          <w:tab w:leader="none" w:pos="867"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Annual Board Service Retainer</w:t>
      </w:r>
      <w:r>
        <w:rPr>
          <w:rFonts w:ascii="Arial" w:cs="Arial" w:eastAsia="Arial" w:hAnsi="Arial"/>
          <w:sz w:val="16"/>
          <w:szCs w:val="16"/>
          <w:color w:val="auto"/>
        </w:rPr>
        <w:t>: All Directors: $ 50,000</w:t>
      </w:r>
    </w:p>
    <w:p>
      <w:pPr>
        <w:spacing w:after="0" w:line="123" w:lineRule="exact"/>
        <w:rPr>
          <w:rFonts w:ascii="Arial" w:cs="Arial" w:eastAsia="Arial" w:hAnsi="Arial"/>
          <w:sz w:val="16"/>
          <w:szCs w:val="16"/>
          <w:color w:val="auto"/>
        </w:rPr>
      </w:pPr>
    </w:p>
    <w:p>
      <w:pPr>
        <w:ind w:left="800" w:hanging="792"/>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Annual Committee Chair Service Fee</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660" w:hanging="775"/>
        <w:spacing w:after="0"/>
        <w:tabs>
          <w:tab w:leader="none" w:pos="1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Chairman of the Audit Committee: $20,000</w:t>
      </w:r>
    </w:p>
    <w:p>
      <w:pPr>
        <w:spacing w:after="0" w:line="9" w:lineRule="exact"/>
        <w:rPr>
          <w:rFonts w:ascii="Arial" w:cs="Arial" w:eastAsia="Arial" w:hAnsi="Arial"/>
          <w:sz w:val="18"/>
          <w:szCs w:val="18"/>
          <w:color w:val="auto"/>
        </w:rPr>
      </w:pPr>
    </w:p>
    <w:p>
      <w:pPr>
        <w:ind w:left="1660" w:hanging="775"/>
        <w:spacing w:after="0"/>
        <w:tabs>
          <w:tab w:leader="none" w:pos="1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Chairman of the Compensation Committee: $ 17,500</w:t>
      </w:r>
    </w:p>
    <w:p>
      <w:pPr>
        <w:spacing w:after="0" w:line="9" w:lineRule="exact"/>
        <w:rPr>
          <w:rFonts w:ascii="Arial" w:cs="Arial" w:eastAsia="Arial" w:hAnsi="Arial"/>
          <w:sz w:val="18"/>
          <w:szCs w:val="18"/>
          <w:color w:val="auto"/>
        </w:rPr>
      </w:pPr>
    </w:p>
    <w:p>
      <w:pPr>
        <w:ind w:left="1660" w:hanging="775"/>
        <w:spacing w:after="0"/>
        <w:tabs>
          <w:tab w:leader="none" w:pos="1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Chairman of the Nominating and Governance Committee: $10,000</w:t>
      </w:r>
    </w:p>
    <w:p>
      <w:pPr>
        <w:spacing w:after="0" w:line="210" w:lineRule="exact"/>
        <w:rPr>
          <w:rFonts w:ascii="Arial" w:cs="Arial" w:eastAsia="Arial" w:hAnsi="Arial"/>
          <w:sz w:val="18"/>
          <w:szCs w:val="18"/>
          <w:color w:val="auto"/>
        </w:rPr>
      </w:pPr>
    </w:p>
    <w:p>
      <w:pPr>
        <w:ind w:left="800" w:hanging="792"/>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Annual Committee Member (non-Chair) Service Fee</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660" w:hanging="775"/>
        <w:spacing w:after="0"/>
        <w:tabs>
          <w:tab w:leader="none" w:pos="1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Audit Committee: $10,000</w:t>
      </w:r>
    </w:p>
    <w:p>
      <w:pPr>
        <w:spacing w:after="0" w:line="9" w:lineRule="exact"/>
        <w:rPr>
          <w:rFonts w:ascii="Arial" w:cs="Arial" w:eastAsia="Arial" w:hAnsi="Arial"/>
          <w:sz w:val="18"/>
          <w:szCs w:val="18"/>
          <w:color w:val="auto"/>
        </w:rPr>
      </w:pPr>
    </w:p>
    <w:p>
      <w:pPr>
        <w:ind w:left="1660" w:hanging="775"/>
        <w:spacing w:after="0"/>
        <w:tabs>
          <w:tab w:leader="none" w:pos="1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Compensation Committee: $7,500</w:t>
      </w:r>
    </w:p>
    <w:p>
      <w:pPr>
        <w:spacing w:after="0" w:line="9" w:lineRule="exact"/>
        <w:rPr>
          <w:rFonts w:ascii="Arial" w:cs="Arial" w:eastAsia="Arial" w:hAnsi="Arial"/>
          <w:sz w:val="18"/>
          <w:szCs w:val="18"/>
          <w:color w:val="auto"/>
        </w:rPr>
      </w:pPr>
    </w:p>
    <w:p>
      <w:pPr>
        <w:ind w:left="1660" w:hanging="775"/>
        <w:spacing w:after="0"/>
        <w:tabs>
          <w:tab w:leader="none" w:pos="1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Nominating and Governance Committee: $5,000</w:t>
      </w:r>
    </w:p>
    <w:p>
      <w:pPr>
        <w:spacing w:after="0" w:line="210" w:lineRule="exact"/>
        <w:rPr>
          <w:rFonts w:ascii="Arial" w:cs="Arial" w:eastAsia="Arial" w:hAnsi="Arial"/>
          <w:sz w:val="18"/>
          <w:szCs w:val="18"/>
          <w:color w:val="auto"/>
        </w:rPr>
      </w:pPr>
    </w:p>
    <w:p>
      <w:pPr>
        <w:ind w:left="880" w:right="7320" w:hanging="872"/>
        <w:spacing w:after="0" w:line="277" w:lineRule="auto"/>
        <w:tabs>
          <w:tab w:leader="none" w:pos="867"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Annual Lead Independent Director Retainer</w:t>
      </w:r>
      <w:r>
        <w:rPr>
          <w:rFonts w:ascii="Arial" w:cs="Arial" w:eastAsia="Arial" w:hAnsi="Arial"/>
          <w:sz w:val="18"/>
          <w:szCs w:val="18"/>
          <w:color w:val="auto"/>
        </w:rPr>
        <w:t>: Lead Director: $22,500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Equity awards will be granted under the FibroGen, Inc. 2014 Equity Incentive Plan (or any successor thereto,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All stock options granted under this policy will be non-statutory stock options, with an exercise price per share equal to 100% of the Fair Market Value (as defined in the Plan) of the underlying Company common stock on the date of grant, and a term of ten (10) years from the date of grant (subject to earlier termination in connection with a termination of service or a corporate transaction as provided in the Plan). All equity awards granted under this Policy will be documented on the applicable form of equity award agreement most recently approved for use by the Board (or a duly authorized committee thereof) for Directors. The terms of the equity awards described in this Policy will be automatically adjusted upon any Capitalization Adjustment (as defined and provided for under the Plan).</w:t>
      </w:r>
    </w:p>
    <w:p>
      <w:pPr>
        <w:spacing w:after="0" w:line="165" w:lineRule="exact"/>
        <w:rPr>
          <w:sz w:val="20"/>
          <w:szCs w:val="20"/>
          <w:color w:val="auto"/>
        </w:rPr>
      </w:pPr>
    </w:p>
    <w:p>
      <w:pPr>
        <w:jc w:val="both"/>
        <w:ind w:firstLine="8"/>
        <w:spacing w:after="0" w:line="257" w:lineRule="auto"/>
        <w:tabs>
          <w:tab w:leader="none" w:pos="78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Initial Grant</w:t>
      </w:r>
      <w:r>
        <w:rPr>
          <w:rFonts w:ascii="Arial" w:cs="Arial" w:eastAsia="Arial" w:hAnsi="Arial"/>
          <w:sz w:val="18"/>
          <w:szCs w:val="18"/>
          <w:color w:val="auto"/>
        </w:rPr>
        <w:t>: On the date of the Director’s initial election or appointment to the Board (or, if such date is not a market trading day, the first market trading day thereafter), the Director will be automatically, and without further action by the Board, granted stock options covering 10,400 shares of FibroGen’s common stock. Such options will vest in equal quarterly installments over three years from the grant date, subject to the Director’s Continuous Service. A Director who, in the one year prior to his or her initial election to serve on the Board as a Director, served as an employee of FibroGen or one of its subsidiaries, will not be eligible for an initial grant.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10.6</w:t>
      </w:r>
    </w:p>
    <w:p>
      <w:pPr>
        <w:spacing w:after="0" w:line="229" w:lineRule="exact"/>
        <w:rPr>
          <w:sz w:val="20"/>
          <w:szCs w:val="20"/>
          <w:color w:val="auto"/>
        </w:rPr>
      </w:pPr>
    </w:p>
    <w:p>
      <w:pPr>
        <w:jc w:val="both"/>
        <w:ind w:firstLine="8"/>
        <w:spacing w:after="0" w:line="257" w:lineRule="auto"/>
        <w:tabs>
          <w:tab w:leader="none" w:pos="783"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Annual Grant</w:t>
      </w:r>
      <w:r>
        <w:rPr>
          <w:rFonts w:ascii="Arial" w:cs="Arial" w:eastAsia="Arial" w:hAnsi="Arial"/>
          <w:sz w:val="18"/>
          <w:szCs w:val="18"/>
          <w:color w:val="auto"/>
        </w:rPr>
        <w:t>: On the date of each Company annual stockholder meeting, each person who is elected or appointed as a Director, and each other Director who continues to serve as a Director immediately after such annual stockholder meeting, will be automatically, and without further action by the Board, granted (a) stock options covering 7,800 shares of FibroGen’s common stock, and (b) RSUs covering 4,700 shares of FibroGen common stock. Such options and RSUs will vest upon the earlier of (x) June 6 of the following year and (y) the following year’s annual stockholder meeting, subject to the Director’s Continuous Service.</w:t>
      </w:r>
    </w:p>
    <w:p>
      <w:pPr>
        <w:spacing w:after="0" w:line="188" w:lineRule="exact"/>
        <w:rPr>
          <w:rFonts w:ascii="Arial" w:cs="Arial" w:eastAsia="Arial" w:hAnsi="Arial"/>
          <w:sz w:val="18"/>
          <w:szCs w:val="18"/>
          <w:color w:val="auto"/>
        </w:rPr>
      </w:pPr>
    </w:p>
    <w:p>
      <w:pPr>
        <w:jc w:val="both"/>
        <w:ind w:firstLine="8"/>
        <w:spacing w:after="0" w:line="255" w:lineRule="auto"/>
        <w:tabs>
          <w:tab w:leader="none" w:pos="783"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Prorated Annual Grants</w:t>
      </w:r>
      <w:r>
        <w:rPr>
          <w:rFonts w:ascii="Arial" w:cs="Arial" w:eastAsia="Arial" w:hAnsi="Arial"/>
          <w:sz w:val="18"/>
          <w:szCs w:val="18"/>
          <w:color w:val="auto"/>
        </w:rPr>
        <w:t>. If a Director is elected or appointed to the Board at a time other than at the annual stockholder meeting, then on the date of such election or appointment (or, if such date is not a market trading day, the first market trading day thereafter), the Director will be automatically, and without further action by the Board, granted stock options covering the number of shares of FibroGen’s common stock equal to the product of each of (x) 7,800 shares and (y) 4,700 RSUs, by (z) the Applicable Fraction (a “</w:t>
      </w:r>
      <w:r>
        <w:rPr>
          <w:rFonts w:ascii="Arial" w:cs="Arial" w:eastAsia="Arial" w:hAnsi="Arial"/>
          <w:sz w:val="18"/>
          <w:szCs w:val="18"/>
          <w:b w:val="1"/>
          <w:bCs w:val="1"/>
          <w:i w:val="1"/>
          <w:iCs w:val="1"/>
          <w:color w:val="auto"/>
        </w:rPr>
        <w:t>Prorated Annual Grant</w:t>
      </w:r>
      <w:r>
        <w:rPr>
          <w:rFonts w:ascii="Arial" w:cs="Arial" w:eastAsia="Arial" w:hAnsi="Arial"/>
          <w:sz w:val="18"/>
          <w:szCs w:val="18"/>
          <w:color w:val="auto"/>
        </w:rPr>
        <w:t>”). The Applicable Fraction means a fraction with (a) a numerator equal to the number of days between the date of the Director’s initial election or appointment to the Board and the date which is the first anniversary of the date of the most recent annual stockholder meeting occurring before the Director is elected or appointed to the Board, and (b) a denominator equal to 365.</w:t>
      </w:r>
    </w:p>
    <w:p>
      <w:pPr>
        <w:spacing w:after="0" w:line="189" w:lineRule="exact"/>
        <w:rPr>
          <w:rFonts w:ascii="Arial" w:cs="Arial" w:eastAsia="Arial" w:hAnsi="Arial"/>
          <w:sz w:val="18"/>
          <w:szCs w:val="18"/>
          <w:color w:val="auto"/>
        </w:rPr>
      </w:pPr>
    </w:p>
    <w:p>
      <w:pPr>
        <w:jc w:val="both"/>
        <w:ind w:firstLine="8"/>
        <w:spacing w:after="0" w:line="259" w:lineRule="auto"/>
        <w:tabs>
          <w:tab w:leader="none" w:pos="783"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Vesting of awards granted under this Policy will cease if the Director resigns from the Board or otherwise ceases to serve as a Director, unless the Board determines that the circumstances warrant continuation of vesting. All equity awards granted under this Policy will vest in full immediately prior to a Change in Control (as defined in the Plan), subject to the Director’s Continuous Service (as defined in the Plan) as of the day prior to the closing of the Change in Control.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reimburse Directors for ordinary, necessary and reasonable out-of-pocket travel expenses to cover in-person attendance at and participation in Board meetings.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Policy is designed to attract and retain experienced, talented individuals to serve on the Board. The Board anticipates that the Board, or a duly authorized committee thereof, will generally review Director compensation on an annual basis following the initial public offering. The Policy, as amended from time to time, may take into account the time commitment expected of Directors, best practices and market rates in Director compensation, the economic position of FibroGen, broader economic conditions, historical compensation structure, the advice of the compensation consultant that the Compensation Committee or the Board may retain from time to time, and the potential dilutive effect of equity awards on our stockholders.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this Policy, Directors receive cash compensation in the form of retainers to recognize their day to day contributions, the level of responsibility as well as the necessary time commitment involved in serving in a leadership role and/or on committees. Directors also receive equity compensation because we believe that stock ownership provides an incentive to act in ways that maximize long-term stockholder value. Further, we believe that stock-based awards are essential to attracting and retaining talented Board members. When options are granted, these options have an exercise price equal to not less than the fair market value of FibroGen’s Common Stock on the date of grant, so that options provide a return only if the fair market value appreciates over the period in which the option vests and remains exercisable. We believe that the vesting acceleration provided in the case of a change in control is consistent with market practices and is critical to attracting and retaining high quality Directors.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Adopted: September 17, 2014</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Amended: March 4, 2015</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Amended: February 23, 2016, Effective as of the 2016 Annual Meeting of Stockholders</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Amended: June 5, 2018</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Amended: June 5, 2019</w:t>
      </w:r>
    </w:p>
    <w:p>
      <w:pPr>
        <w:spacing w:after="0" w:line="200" w:lineRule="exact"/>
        <w:rPr>
          <w:sz w:val="20"/>
          <w:szCs w:val="20"/>
          <w:color w:val="auto"/>
        </w:rPr>
      </w:pPr>
    </w:p>
    <w:p>
      <w:pPr>
        <w:spacing w:after="0" w:line="21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20"/>
          </w:cols>
          <w:pgMar w:left="1440" w:top="337"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10.7</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September 18, 2019</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Schoeneck</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4748 Plummer Court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 Diego, California 92130</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Dear Jim,</w:t>
      </w:r>
    </w:p>
    <w:p>
      <w:pPr>
        <w:spacing w:after="0" w:line="22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FibroGen, Inc. is pleased to offer you the position of Interim Chief Executive Officer. The effective date ("</w:t>
      </w:r>
      <w:r>
        <w:rPr>
          <w:rFonts w:ascii="Arial" w:cs="Arial" w:eastAsia="Arial" w:hAnsi="Arial"/>
          <w:sz w:val="18"/>
          <w:szCs w:val="18"/>
          <w:b w:val="1"/>
          <w:bCs w:val="1"/>
          <w:color w:val="auto"/>
        </w:rPr>
        <w:t>Effective Date</w:t>
      </w:r>
      <w:r>
        <w:rPr>
          <w:rFonts w:ascii="Arial" w:cs="Arial" w:eastAsia="Arial" w:hAnsi="Arial"/>
          <w:sz w:val="18"/>
          <w:szCs w:val="18"/>
          <w:color w:val="auto"/>
        </w:rPr>
        <w:t>") of your employment was August 26,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this offer of employment are as follows:</w:t>
      </w:r>
    </w:p>
    <w:p>
      <w:pPr>
        <w:spacing w:after="0" w:line="212" w:lineRule="exact"/>
        <w:rPr>
          <w:sz w:val="20"/>
          <w:szCs w:val="20"/>
          <w:color w:val="auto"/>
        </w:rPr>
      </w:pPr>
    </w:p>
    <w:p>
      <w:pPr>
        <w:jc w:val="both"/>
        <w:ind w:left="440" w:hanging="432"/>
        <w:spacing w:after="0" w:line="216" w:lineRule="auto"/>
        <w:tabs>
          <w:tab w:leader="none" w:pos="440" w:val="left"/>
        </w:tabs>
        <w:numPr>
          <w:ilvl w:val="0"/>
          <w:numId w:val="61"/>
        </w:numPr>
        <w:rPr>
          <w:rFonts w:ascii="Arial" w:cs="Arial" w:eastAsia="Arial" w:hAnsi="Arial"/>
          <w:sz w:val="18"/>
          <w:szCs w:val="18"/>
          <w:color w:val="282828"/>
        </w:rPr>
      </w:pPr>
      <w:r>
        <w:rPr>
          <w:rFonts w:ascii="Arial" w:cs="Arial" w:eastAsia="Arial" w:hAnsi="Arial"/>
          <w:sz w:val="18"/>
          <w:szCs w:val="18"/>
          <w:u w:val="single" w:color="auto"/>
          <w:color w:val="auto"/>
        </w:rPr>
        <w:t>Compensation</w:t>
      </w:r>
      <w:r>
        <w:rPr>
          <w:rFonts w:ascii="Arial" w:cs="Arial" w:eastAsia="Arial" w:hAnsi="Arial"/>
          <w:sz w:val="18"/>
          <w:szCs w:val="18"/>
          <w:color w:val="auto"/>
        </w:rPr>
        <w:t>. Per approval of the FibroGen Compensation Committee on September 18, 2019 FibroGen will pay you a salary of $66,666 semi-monthly (equivalent to $1,600,000 per year), payable in periodic installments on our regular paydays in accordance with FibroGen's standard payroll policies. Your salary will be payed retroactively to August 26, 2019. The position is classified as exempt and therefore not eligible for overtime pay. The first and last payment by FibroGen to you will be adjusted, if necessary, to reflect a commencement or termination date other than the first or last working day of a pay period.</w:t>
      </w:r>
    </w:p>
    <w:p>
      <w:pPr>
        <w:spacing w:after="0" w:line="135" w:lineRule="exact"/>
        <w:rPr>
          <w:rFonts w:ascii="Arial" w:cs="Arial" w:eastAsia="Arial" w:hAnsi="Arial"/>
          <w:sz w:val="18"/>
          <w:szCs w:val="18"/>
          <w:color w:val="282828"/>
        </w:rPr>
      </w:pPr>
    </w:p>
    <w:p>
      <w:pPr>
        <w:jc w:val="both"/>
        <w:ind w:left="440" w:hanging="432"/>
        <w:spacing w:after="0" w:line="256" w:lineRule="auto"/>
        <w:tabs>
          <w:tab w:leader="none" w:pos="440" w:val="left"/>
        </w:tabs>
        <w:numPr>
          <w:ilvl w:val="0"/>
          <w:numId w:val="61"/>
        </w:numPr>
        <w:rPr>
          <w:rFonts w:ascii="Arial" w:cs="Arial" w:eastAsia="Arial" w:hAnsi="Arial"/>
          <w:sz w:val="18"/>
          <w:szCs w:val="18"/>
          <w:color w:val="282828"/>
        </w:rPr>
      </w:pPr>
      <w:r>
        <w:rPr>
          <w:rFonts w:ascii="Arial" w:cs="Arial" w:eastAsia="Arial" w:hAnsi="Arial"/>
          <w:sz w:val="18"/>
          <w:szCs w:val="18"/>
          <w:u w:val="single" w:color="auto"/>
          <w:color w:val="auto"/>
        </w:rPr>
        <w:t>Stock Options and Restricted Stock Units</w:t>
      </w:r>
      <w:r>
        <w:rPr>
          <w:rFonts w:ascii="Arial" w:cs="Arial" w:eastAsia="Arial" w:hAnsi="Arial"/>
          <w:sz w:val="18"/>
          <w:szCs w:val="18"/>
          <w:color w:val="auto"/>
        </w:rPr>
        <w:t>. Per approval of the FibroGen Compensation Committee on September 18, 2019, you have been granted the following equity incentive grants pursuant to the terms and conditions of the Equity Plan (the “</w:t>
      </w:r>
      <w:r>
        <w:rPr>
          <w:rFonts w:ascii="Arial" w:cs="Arial" w:eastAsia="Arial" w:hAnsi="Arial"/>
          <w:sz w:val="18"/>
          <w:szCs w:val="18"/>
          <w:b w:val="1"/>
          <w:bCs w:val="1"/>
          <w:color w:val="auto"/>
        </w:rPr>
        <w:t>Equity Plan</w:t>
      </w:r>
      <w:r>
        <w:rPr>
          <w:rFonts w:ascii="Arial" w:cs="Arial" w:eastAsia="Arial" w:hAnsi="Arial"/>
          <w:sz w:val="18"/>
          <w:szCs w:val="18"/>
          <w:color w:val="auto"/>
        </w:rPr>
        <w:t>”), as may be amended or modified from time to time:</w:t>
      </w:r>
    </w:p>
    <w:p>
      <w:pPr>
        <w:ind w:left="1500" w:right="20" w:hanging="425"/>
        <w:spacing w:after="0" w:line="250" w:lineRule="auto"/>
        <w:tabs>
          <w:tab w:leader="none" w:pos="15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stock option to purchase 97,100 shares of FibroGen's Common Stock with an exercise price set at the fair market value on the date of grant (“</w:t>
      </w:r>
      <w:r>
        <w:rPr>
          <w:rFonts w:ascii="Arial" w:cs="Arial" w:eastAsia="Arial" w:hAnsi="Arial"/>
          <w:sz w:val="18"/>
          <w:szCs w:val="18"/>
          <w:b w:val="1"/>
          <w:bCs w:val="1"/>
          <w:color w:val="auto"/>
        </w:rPr>
        <w:t>Stock Options</w:t>
      </w:r>
      <w:r>
        <w:rPr>
          <w:rFonts w:ascii="Arial" w:cs="Arial" w:eastAsia="Arial" w:hAnsi="Arial"/>
          <w:sz w:val="18"/>
          <w:szCs w:val="18"/>
          <w:color w:val="auto"/>
        </w:rPr>
        <w:t>”); and</w:t>
      </w:r>
    </w:p>
    <w:p>
      <w:pPr>
        <w:ind w:left="1500" w:hanging="425"/>
        <w:spacing w:after="0"/>
        <w:tabs>
          <w:tab w:leader="none" w:pos="15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grant of 57,300 restricted stock units relating to shares of FibroGen’s Common Stock (“</w:t>
      </w:r>
      <w:r>
        <w:rPr>
          <w:rFonts w:ascii="Arial" w:cs="Arial" w:eastAsia="Arial" w:hAnsi="Arial"/>
          <w:sz w:val="18"/>
          <w:szCs w:val="18"/>
          <w:b w:val="1"/>
          <w:bCs w:val="1"/>
          <w:color w:val="auto"/>
        </w:rPr>
        <w:t>RSUs</w:t>
      </w:r>
      <w:r>
        <w:rPr>
          <w:rFonts w:ascii="Arial" w:cs="Arial" w:eastAsia="Arial" w:hAnsi="Arial"/>
          <w:sz w:val="18"/>
          <w:szCs w:val="18"/>
          <w:color w:val="auto"/>
        </w:rPr>
        <w: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vesting schedule for the above equity awards will be as follows: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50% of the Awards shall vest, subject to continued service as Interim CEO, on the earlier of February 26, 2020 or the hiring of a new CEO, and</w:t>
      </w:r>
    </w:p>
    <w:p>
      <w:pPr>
        <w:spacing w:after="0" w:line="248" w:lineRule="exact"/>
        <w:rPr>
          <w:sz w:val="20"/>
          <w:szCs w:val="20"/>
          <w:color w:val="auto"/>
        </w:rPr>
      </w:pPr>
    </w:p>
    <w:p>
      <w:pPr>
        <w:jc w:val="both"/>
        <w:ind w:left="880"/>
        <w:spacing w:after="0" w:line="286" w:lineRule="auto"/>
        <w:rPr>
          <w:sz w:val="20"/>
          <w:szCs w:val="20"/>
          <w:color w:val="auto"/>
        </w:rPr>
      </w:pPr>
      <w:r>
        <w:rPr>
          <w:rFonts w:ascii="Arial" w:cs="Arial" w:eastAsia="Arial" w:hAnsi="Arial"/>
          <w:sz w:val="17"/>
          <w:szCs w:val="17"/>
          <w:color w:val="auto"/>
        </w:rPr>
        <w:t>50% shall vest on August 26, 2020, subject to continued service as Interim CEO, provided that if your Interim CEO service terminates between February 26, 2020 and August 26, 2020, the Awards vest pro-rata at the time service terminates based on the number of months of Interim CEO service past February 26, 2020 (rounding up for partial months) as a fraction of the 6-month period</w:t>
      </w:r>
    </w:p>
    <w:p>
      <w:pPr>
        <w:spacing w:after="0" w:line="166"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The actual number of shares subject to the grant hereunder may be adjusted, if required, for events such as stock splits, stock dividends, etc. pursuant to the Equity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FibroGen will reimburse you for:</w:t>
      </w:r>
    </w:p>
    <w:p>
      <w:pPr>
        <w:spacing w:after="0" w:line="17" w:lineRule="exact"/>
        <w:rPr>
          <w:sz w:val="20"/>
          <w:szCs w:val="20"/>
          <w:color w:val="auto"/>
        </w:rPr>
      </w:pPr>
    </w:p>
    <w:p>
      <w:pPr>
        <w:ind w:left="1300" w:hanging="428"/>
        <w:spacing w:after="0"/>
        <w:tabs>
          <w:tab w:leader="none" w:pos="1300" w:val="left"/>
        </w:tabs>
        <w:numPr>
          <w:ilvl w:val="0"/>
          <w:numId w:val="62"/>
        </w:numPr>
        <w:rPr>
          <w:rFonts w:ascii="Courier New" w:cs="Courier New" w:eastAsia="Courier New" w:hAnsi="Courier New"/>
          <w:sz w:val="18"/>
          <w:szCs w:val="18"/>
          <w:color w:val="auto"/>
        </w:rPr>
      </w:pPr>
      <w:r>
        <w:rPr>
          <w:rFonts w:ascii="Arial" w:cs="Arial" w:eastAsia="Arial" w:hAnsi="Arial"/>
          <w:sz w:val="18"/>
          <w:szCs w:val="18"/>
          <w:color w:val="auto"/>
        </w:rPr>
        <w:t>Lodging and related household/incidental expenses in San Francisco</w:t>
      </w:r>
    </w:p>
    <w:p>
      <w:pPr>
        <w:ind w:left="1300" w:hanging="428"/>
        <w:spacing w:after="0" w:line="232" w:lineRule="auto"/>
        <w:tabs>
          <w:tab w:leader="none" w:pos="1300" w:val="left"/>
        </w:tabs>
        <w:numPr>
          <w:ilvl w:val="0"/>
          <w:numId w:val="62"/>
        </w:numPr>
        <w:rPr>
          <w:rFonts w:ascii="Courier New" w:cs="Courier New" w:eastAsia="Courier New" w:hAnsi="Courier New"/>
          <w:sz w:val="18"/>
          <w:szCs w:val="18"/>
          <w:color w:val="auto"/>
        </w:rPr>
      </w:pPr>
      <w:r>
        <w:rPr>
          <w:rFonts w:ascii="Arial" w:cs="Arial" w:eastAsia="Arial" w:hAnsi="Arial"/>
          <w:sz w:val="18"/>
          <w:szCs w:val="18"/>
          <w:color w:val="auto"/>
        </w:rPr>
        <w:t>Airfare and ground transportation, including car rental expenses if needed, while traveling to/from and within San Francisco</w:t>
      </w:r>
    </w:p>
    <w:p>
      <w:pPr>
        <w:ind w:left="1300" w:hanging="428"/>
        <w:spacing w:after="0" w:line="232" w:lineRule="auto"/>
        <w:tabs>
          <w:tab w:leader="none" w:pos="1300" w:val="left"/>
        </w:tabs>
        <w:numPr>
          <w:ilvl w:val="0"/>
          <w:numId w:val="62"/>
        </w:numPr>
        <w:rPr>
          <w:rFonts w:ascii="Courier New" w:cs="Courier New" w:eastAsia="Courier New" w:hAnsi="Courier New"/>
          <w:sz w:val="18"/>
          <w:szCs w:val="18"/>
          <w:color w:val="auto"/>
        </w:rPr>
      </w:pPr>
      <w:r>
        <w:rPr>
          <w:rFonts w:ascii="Arial" w:cs="Arial" w:eastAsia="Arial" w:hAnsi="Arial"/>
          <w:sz w:val="18"/>
          <w:szCs w:val="18"/>
          <w:color w:val="auto"/>
        </w:rPr>
        <w:t>Meals and groceries while in San Francisco or in transit</w:t>
      </w:r>
    </w:p>
    <w:p>
      <w:pPr>
        <w:ind w:left="1300" w:hanging="428"/>
        <w:spacing w:after="0" w:line="232" w:lineRule="auto"/>
        <w:tabs>
          <w:tab w:leader="none" w:pos="1300" w:val="left"/>
        </w:tabs>
        <w:numPr>
          <w:ilvl w:val="0"/>
          <w:numId w:val="62"/>
        </w:numPr>
        <w:rPr>
          <w:rFonts w:ascii="Courier New" w:cs="Courier New" w:eastAsia="Courier New" w:hAnsi="Courier New"/>
          <w:sz w:val="18"/>
          <w:szCs w:val="18"/>
          <w:color w:val="auto"/>
        </w:rPr>
      </w:pPr>
      <w:r>
        <w:rPr>
          <w:rFonts w:ascii="Arial" w:cs="Arial" w:eastAsia="Arial" w:hAnsi="Arial"/>
          <w:sz w:val="18"/>
          <w:szCs w:val="18"/>
          <w:color w:val="auto"/>
        </w:rPr>
        <w:t>Any business related expenses will be covered by FibroGen as would normally be covered as an employee of the company</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Additionally any expense that is deemed taxable will be grossed up as part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96" w:name="page97"/>
    <w:bookmarkEnd w:id="96"/>
    <w:p>
      <w:pPr>
        <w:ind w:left="10360"/>
        <w:spacing w:after="0"/>
        <w:rPr>
          <w:sz w:val="20"/>
          <w:szCs w:val="20"/>
          <w:color w:val="auto"/>
        </w:rPr>
      </w:pPr>
      <w:r>
        <w:rPr>
          <w:rFonts w:ascii="Arial" w:cs="Arial" w:eastAsia="Arial" w:hAnsi="Arial"/>
          <w:sz w:val="18"/>
          <w:szCs w:val="18"/>
          <w:b w:val="1"/>
          <w:bCs w:val="1"/>
          <w:color w:val="auto"/>
        </w:rPr>
        <w:t>Exhibit 10.7</w:t>
      </w:r>
    </w:p>
    <w:p>
      <w:pPr>
        <w:spacing w:after="0" w:line="229" w:lineRule="exact"/>
        <w:rPr>
          <w:sz w:val="20"/>
          <w:szCs w:val="20"/>
          <w:color w:val="auto"/>
        </w:rPr>
      </w:pPr>
    </w:p>
    <w:p>
      <w:pPr>
        <w:jc w:val="both"/>
        <w:ind w:left="440" w:hanging="432"/>
        <w:spacing w:after="0" w:line="259" w:lineRule="auto"/>
        <w:tabs>
          <w:tab w:leader="none" w:pos="440" w:val="left"/>
        </w:tabs>
        <w:numPr>
          <w:ilvl w:val="0"/>
          <w:numId w:val="63"/>
        </w:numPr>
        <w:rPr>
          <w:rFonts w:ascii="Arial" w:cs="Arial" w:eastAsia="Arial" w:hAnsi="Arial"/>
          <w:sz w:val="18"/>
          <w:szCs w:val="18"/>
          <w:color w:val="282828"/>
        </w:rPr>
      </w:pPr>
      <w:r>
        <w:rPr>
          <w:rFonts w:ascii="Arial" w:cs="Arial" w:eastAsia="Arial" w:hAnsi="Arial"/>
          <w:sz w:val="18"/>
          <w:szCs w:val="18"/>
          <w:u w:val="single" w:color="auto"/>
          <w:color w:val="auto"/>
        </w:rPr>
        <w:t>Benefits</w:t>
      </w:r>
      <w:r>
        <w:rPr>
          <w:rFonts w:ascii="Arial" w:cs="Arial" w:eastAsia="Arial" w:hAnsi="Arial"/>
          <w:sz w:val="18"/>
          <w:szCs w:val="18"/>
          <w:color w:val="auto"/>
        </w:rPr>
        <w:t>. During the term of your employment, you will be eligible to participate in FibroGen’s benefits program, which may include FibroGen's vacation benefits of 4 weeks’ vacation per service year and other employee benefits such as medical, vision and dental health insurance, covering employees and officers. These benefits may be modified or subject to change from time to time. A copy of FibroGen's current benefits summary has been provided to you.</w:t>
      </w:r>
    </w:p>
    <w:p>
      <w:pPr>
        <w:spacing w:after="0" w:line="186" w:lineRule="exact"/>
        <w:rPr>
          <w:rFonts w:ascii="Arial" w:cs="Arial" w:eastAsia="Arial" w:hAnsi="Arial"/>
          <w:sz w:val="18"/>
          <w:szCs w:val="18"/>
          <w:color w:val="282828"/>
        </w:rPr>
      </w:pPr>
    </w:p>
    <w:p>
      <w:pPr>
        <w:ind w:left="440" w:hanging="432"/>
        <w:spacing w:after="0"/>
        <w:tabs>
          <w:tab w:leader="none" w:pos="440" w:val="left"/>
        </w:tabs>
        <w:numPr>
          <w:ilvl w:val="0"/>
          <w:numId w:val="63"/>
        </w:numPr>
        <w:rPr>
          <w:rFonts w:ascii="Arial" w:cs="Arial" w:eastAsia="Arial" w:hAnsi="Arial"/>
          <w:sz w:val="18"/>
          <w:szCs w:val="18"/>
          <w:color w:val="282828"/>
        </w:rPr>
      </w:pPr>
      <w:r>
        <w:rPr>
          <w:rFonts w:ascii="Arial" w:cs="Arial" w:eastAsia="Arial" w:hAnsi="Arial"/>
          <w:sz w:val="18"/>
          <w:szCs w:val="18"/>
          <w:u w:val="single" w:color="auto"/>
          <w:color w:val="auto"/>
        </w:rPr>
        <w:t>Employment Eligibility.</w:t>
      </w:r>
      <w:r>
        <w:rPr>
          <w:rFonts w:ascii="Arial" w:cs="Arial" w:eastAsia="Arial" w:hAnsi="Arial"/>
          <w:sz w:val="18"/>
          <w:szCs w:val="18"/>
          <w:color w:val="auto"/>
        </w:rPr>
        <w:t xml:space="preserve"> You will also be required to sign the Employment Eligibility Verification (Form I-9).</w:t>
      </w:r>
    </w:p>
    <w:p>
      <w:pPr>
        <w:spacing w:after="0" w:line="225" w:lineRule="exact"/>
        <w:rPr>
          <w:rFonts w:ascii="Arial" w:cs="Arial" w:eastAsia="Arial" w:hAnsi="Arial"/>
          <w:sz w:val="18"/>
          <w:szCs w:val="18"/>
          <w:color w:val="282828"/>
        </w:rPr>
      </w:pPr>
    </w:p>
    <w:p>
      <w:pPr>
        <w:jc w:val="both"/>
        <w:ind w:left="440" w:hanging="432"/>
        <w:spacing w:after="0" w:line="259" w:lineRule="auto"/>
        <w:tabs>
          <w:tab w:leader="none" w:pos="440" w:val="left"/>
        </w:tabs>
        <w:numPr>
          <w:ilvl w:val="0"/>
          <w:numId w:val="63"/>
        </w:numPr>
        <w:rPr>
          <w:rFonts w:ascii="Arial" w:cs="Arial" w:eastAsia="Arial" w:hAnsi="Arial"/>
          <w:sz w:val="18"/>
          <w:szCs w:val="18"/>
          <w:color w:val="282828"/>
        </w:rPr>
      </w:pPr>
      <w:r>
        <w:rPr>
          <w:rFonts w:ascii="Arial" w:cs="Arial" w:eastAsia="Arial" w:hAnsi="Arial"/>
          <w:sz w:val="18"/>
          <w:szCs w:val="18"/>
          <w:u w:val="single" w:color="auto"/>
          <w:color w:val="auto"/>
        </w:rPr>
        <w:t>Proprietary Information</w:t>
      </w:r>
      <w:r>
        <w:rPr>
          <w:rFonts w:ascii="Arial" w:cs="Arial" w:eastAsia="Arial" w:hAnsi="Arial"/>
          <w:sz w:val="18"/>
          <w:szCs w:val="18"/>
          <w:color w:val="auto"/>
        </w:rPr>
        <w:t>. You will abide by FibroGen’s strict company policy that prohibits any new employee from using or bringing with them from any prior employer any proprietary information, trade secrets, proprietary materials or processes of such former employers. Moreover, because FibroGen’s proprietary information is extremely important, this offer of employment is expressly subject to your execution of the enclosed Confidential Information, Secrecy and Invention Agreement for Employees.</w:t>
      </w:r>
    </w:p>
    <w:p>
      <w:pPr>
        <w:spacing w:after="0" w:line="186" w:lineRule="exact"/>
        <w:rPr>
          <w:rFonts w:ascii="Arial" w:cs="Arial" w:eastAsia="Arial" w:hAnsi="Arial"/>
          <w:sz w:val="18"/>
          <w:szCs w:val="18"/>
          <w:color w:val="282828"/>
        </w:rPr>
      </w:pPr>
    </w:p>
    <w:p>
      <w:pPr>
        <w:jc w:val="both"/>
        <w:ind w:left="440" w:hanging="432"/>
        <w:spacing w:after="0" w:line="276" w:lineRule="auto"/>
        <w:tabs>
          <w:tab w:leader="none" w:pos="440" w:val="left"/>
        </w:tabs>
        <w:numPr>
          <w:ilvl w:val="0"/>
          <w:numId w:val="63"/>
        </w:numPr>
        <w:rPr>
          <w:rFonts w:ascii="Arial" w:cs="Arial" w:eastAsia="Arial" w:hAnsi="Arial"/>
          <w:sz w:val="17"/>
          <w:szCs w:val="17"/>
          <w:color w:val="282828"/>
        </w:rPr>
      </w:pPr>
      <w:r>
        <w:rPr>
          <w:rFonts w:ascii="Arial" w:cs="Arial" w:eastAsia="Arial" w:hAnsi="Arial"/>
          <w:sz w:val="17"/>
          <w:szCs w:val="17"/>
          <w:u w:val="single" w:color="auto"/>
          <w:color w:val="auto"/>
        </w:rPr>
        <w:t>At Will Employment.</w:t>
      </w:r>
      <w:r>
        <w:rPr>
          <w:rFonts w:ascii="Arial" w:cs="Arial" w:eastAsia="Arial" w:hAnsi="Arial"/>
          <w:sz w:val="17"/>
          <w:szCs w:val="17"/>
          <w:color w:val="auto"/>
        </w:rPr>
        <w:t xml:space="preserve"> You should be aware that your employment with FibroGen is for no specified period and constitutes "at-will" employment. As a result, both FibroGen and you are free to terminate the employment relationship at any time, for any reason or for no reason, and with or without advance notice. The changing needs of FibroGen could also result in changes to certain aspects of your employment, such as compensation, responsibilities, location, etc. These provisions expressly supersede any previous representations, oral or written. Your at-will employment cannot be modified or amended except by written agreement signed by both you and the Chair of the Board of Directors of FibroGen.</w:t>
      </w:r>
    </w:p>
    <w:p>
      <w:pPr>
        <w:spacing w:after="0" w:line="172" w:lineRule="exact"/>
        <w:rPr>
          <w:rFonts w:ascii="Arial" w:cs="Arial" w:eastAsia="Arial" w:hAnsi="Arial"/>
          <w:sz w:val="17"/>
          <w:szCs w:val="17"/>
          <w:color w:val="282828"/>
        </w:rPr>
      </w:pPr>
    </w:p>
    <w:p>
      <w:pPr>
        <w:jc w:val="both"/>
        <w:ind w:left="440" w:hanging="432"/>
        <w:spacing w:after="0" w:line="269" w:lineRule="auto"/>
        <w:tabs>
          <w:tab w:leader="none" w:pos="440" w:val="left"/>
        </w:tabs>
        <w:numPr>
          <w:ilvl w:val="0"/>
          <w:numId w:val="63"/>
        </w:numPr>
        <w:rPr>
          <w:rFonts w:ascii="Arial" w:cs="Arial" w:eastAsia="Arial" w:hAnsi="Arial"/>
          <w:sz w:val="17"/>
          <w:szCs w:val="17"/>
          <w:b w:val="1"/>
          <w:bCs w:val="1"/>
          <w:color w:val="282828"/>
        </w:rPr>
      </w:pPr>
      <w:r>
        <w:rPr>
          <w:rFonts w:ascii="Arial" w:cs="Arial" w:eastAsia="Arial" w:hAnsi="Arial"/>
          <w:sz w:val="17"/>
          <w:szCs w:val="17"/>
          <w:u w:val="single" w:color="auto"/>
          <w:color w:val="auto"/>
        </w:rPr>
        <w:t>Arbitration.</w:t>
      </w:r>
      <w:r>
        <w:rPr>
          <w:rFonts w:ascii="Arial" w:cs="Arial" w:eastAsia="Arial" w:hAnsi="Arial"/>
          <w:sz w:val="17"/>
          <w:szCs w:val="17"/>
          <w:color w:val="auto"/>
        </w:rPr>
        <w:t xml:space="preserve"> Any dispute or claim, including all contract, tort, discrimination, and statutory claims, arising under or relating to your employment or termination of your employment with FibroGen (“Arbitrable Claim(s)”) shall be resolved by arbitration. “Arbitrable Claims” shall not include: (1) claims under applicable workers’ compensation law, (2) unemployment insurance claims, and (3) any disputes or claims relating to or arising out of the misuse or misappropriation of trade secrets. </w:t>
      </w:r>
      <w:r>
        <w:rPr>
          <w:rFonts w:ascii="Arial" w:cs="Arial" w:eastAsia="Arial" w:hAnsi="Arial"/>
          <w:sz w:val="17"/>
          <w:szCs w:val="17"/>
          <w:b w:val="1"/>
          <w:bCs w:val="1"/>
          <w:u w:val="single" w:color="auto"/>
          <w:color w:val="auto"/>
        </w:rPr>
        <w:t>You and FibroGen hereby waive any rights each may have to a jury trial in regard to Arbitrable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Claims.</w:t>
      </w:r>
      <w:r>
        <w:rPr>
          <w:rFonts w:ascii="Arial" w:cs="Arial" w:eastAsia="Arial" w:hAnsi="Arial"/>
          <w:sz w:val="17"/>
          <w:szCs w:val="17"/>
          <w:b w:val="1"/>
          <w:bCs w:val="1"/>
          <w:color w:val="auto"/>
        </w:rPr>
        <w:t xml:space="preserve"> </w:t>
      </w:r>
      <w:r>
        <w:rPr>
          <w:rFonts w:ascii="Arial" w:cs="Arial" w:eastAsia="Arial" w:hAnsi="Arial"/>
          <w:sz w:val="17"/>
          <w:szCs w:val="17"/>
          <w:color w:val="auto"/>
        </w:rPr>
        <w:t>Arbitration for Arbitrable Claims will be conducted by the American Arbitration Association (“AAA”) in San Francisco (or other mutually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agreed upon city) under the Employment Arbitration Rules and Mediation Procedures (“AAA Rules”). The AAA Rules are available at </w:t>
      </w:r>
      <w:r>
        <w:rPr>
          <w:rFonts w:ascii="Arial" w:cs="Arial" w:eastAsia="Arial" w:hAnsi="Arial"/>
          <w:sz w:val="17"/>
          <w:szCs w:val="17"/>
          <w:u w:val="single" w:color="auto"/>
          <w:color w:val="auto"/>
        </w:rPr>
        <w:t>https://www.adr.org/sites/default/files/EmploymentRules_Web_0.pdf</w:t>
      </w:r>
      <w:r>
        <w:rPr>
          <w:rFonts w:ascii="Arial" w:cs="Arial" w:eastAsia="Arial" w:hAnsi="Arial"/>
          <w:sz w:val="17"/>
          <w:szCs w:val="17"/>
          <w:color w:val="auto"/>
        </w:rPr>
        <w:t xml:space="preserve">, or can be obtained by contacting the FibroGen Human Resources department or by calling AAA at </w:t>
      </w:r>
      <w:r>
        <w:rPr>
          <w:rFonts w:ascii="Arial" w:cs="Arial" w:eastAsia="Arial" w:hAnsi="Arial"/>
          <w:sz w:val="17"/>
          <w:szCs w:val="17"/>
          <w:color w:val="FF0000"/>
        </w:rPr>
        <w:t>800-778-7879</w:t>
      </w:r>
      <w:r>
        <w:rPr>
          <w:rFonts w:ascii="Arial" w:cs="Arial" w:eastAsia="Arial" w:hAnsi="Arial"/>
          <w:sz w:val="17"/>
          <w:szCs w:val="17"/>
          <w:color w:val="auto"/>
        </w:rPr>
        <w:t>. FibroGen will pay the fees and costs of the arbitrator. The arbitrator shall have the same authority as a court to award equitable relief, damages, costs, and fees (excluding the costs and fees for the arbitrator) as provided by law for the particular claims asserted. The arbitrator shall also have exclusive authority to rule on his or her own jurisdiction, including any objections with respect to the existence, scope, enforceability or validity of the arbitration agreement. Such arbitration shall be final and binding on the parties and shall be the exclusive remedy for Arbitrable Claims.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of conflict between the terms contained in this offer letter and any other document, the terms of this offer letter (including any amendment to this letter) shall control. FibroGen reserves the right to amend the terms contained in this offer letter from time to time.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Enclosed are two original copies of this offer letter. If all of the foregoing terms are satisfactory and acceptable to you, please sign each original and (i) return one to me within in the enclosed envelope, and (ii) save the other original for yourself. Please also complete the following enclosed forms and return them to me with your countersigned offer letter:</w:t>
      </w:r>
    </w:p>
    <w:p>
      <w:pPr>
        <w:spacing w:after="0" w:line="181" w:lineRule="exact"/>
        <w:rPr>
          <w:sz w:val="20"/>
          <w:szCs w:val="20"/>
          <w:color w:val="auto"/>
        </w:rPr>
      </w:pPr>
    </w:p>
    <w:p>
      <w:pPr>
        <w:ind w:left="440" w:hanging="432"/>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FibroGen Arbitration Agreement</w:t>
      </w:r>
    </w:p>
    <w:p>
      <w:pPr>
        <w:spacing w:after="0" w:line="23" w:lineRule="exact"/>
        <w:rPr>
          <w:rFonts w:ascii="Arial" w:cs="Arial" w:eastAsia="Arial" w:hAnsi="Arial"/>
          <w:sz w:val="18"/>
          <w:szCs w:val="18"/>
          <w:color w:val="auto"/>
        </w:rPr>
      </w:pPr>
    </w:p>
    <w:p>
      <w:pPr>
        <w:ind w:left="440" w:hanging="432"/>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Confidential Information, Secrecy and Inventions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Please do not hesitate to contact me should you have any questions or if I can be of additional assistance. 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Richard Farley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Richard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-130810</wp:posOffset>
            </wp:positionV>
            <wp:extent cx="32073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Vice President, Human Resources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ACCEPTED AND AGREED 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200" w:type="dxa"/>
            <w:vAlign w:val="bottom"/>
            <w:gridSpan w:val="3"/>
          </w:tcPr>
          <w:p>
            <w:pPr>
              <w:spacing w:after="0"/>
              <w:rPr>
                <w:sz w:val="20"/>
                <w:szCs w:val="20"/>
                <w:color w:val="auto"/>
              </w:rPr>
            </w:pPr>
            <w:r>
              <w:rPr>
                <w:rFonts w:ascii="Arial" w:cs="Arial" w:eastAsia="Arial" w:hAnsi="Arial"/>
                <w:sz w:val="18"/>
                <w:szCs w:val="18"/>
                <w:color w:val="auto"/>
              </w:rPr>
              <w:t>/ s/ James Schoeneck</w:t>
            </w:r>
          </w:p>
        </w:tc>
        <w:tc>
          <w:tcPr>
            <w:tcW w:w="1720" w:type="dxa"/>
            <w:vAlign w:val="bottom"/>
          </w:tcPr>
          <w:p>
            <w:pPr>
              <w:spacing w:after="0"/>
              <w:rPr>
                <w:sz w:val="20"/>
                <w:szCs w:val="20"/>
                <w:color w:val="auto"/>
              </w:rPr>
            </w:pPr>
            <w:r>
              <w:rPr>
                <w:rFonts w:ascii="Arial" w:cs="Arial" w:eastAsia="Arial" w:hAnsi="Arial"/>
                <w:sz w:val="18"/>
                <w:szCs w:val="18"/>
                <w:color w:val="auto"/>
              </w:rPr>
              <w:t>10/3/19</w:t>
            </w:r>
          </w:p>
        </w:tc>
      </w:tr>
      <w:tr>
        <w:trPr>
          <w:trHeight w:val="224"/>
        </w:trPr>
        <w:tc>
          <w:tcPr>
            <w:tcW w:w="20" w:type="dxa"/>
            <w:vAlign w:val="bottom"/>
          </w:tcPr>
          <w:p>
            <w:pPr>
              <w:spacing w:after="0"/>
              <w:rPr>
                <w:sz w:val="19"/>
                <w:szCs w:val="19"/>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Schoeneck</w:t>
            </w:r>
          </w:p>
        </w:tc>
        <w:tc>
          <w:tcPr>
            <w:tcW w:w="660" w:type="dxa"/>
            <w:vAlign w:val="bottom"/>
          </w:tcPr>
          <w:p>
            <w:pPr>
              <w:spacing w:after="0"/>
              <w:rPr>
                <w:sz w:val="19"/>
                <w:szCs w:val="19"/>
                <w:color w:val="auto"/>
              </w:rPr>
            </w:pPr>
          </w:p>
        </w:tc>
        <w:tc>
          <w:tcPr>
            <w:tcW w:w="1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bl>
    <w:p>
      <w:pPr>
        <w:spacing w:after="0" w:line="200" w:lineRule="exact"/>
        <w:rPr>
          <w:sz w:val="20"/>
          <w:szCs w:val="20"/>
          <w:color w:val="auto"/>
        </w:rPr>
      </w:pPr>
    </w:p>
    <w:p>
      <w:pPr>
        <w:sectPr>
          <w:pgSz w:w="11900" w:h="16838" w:orient="portrait"/>
          <w:cols w:equalWidth="0" w:num="1">
            <w:col w:w="11300"/>
          </w:cols>
          <w:pgMar w:left="240" w:top="35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Enclosures: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FibroGen Arbitration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Confidential Information, Secrecy and Inventions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Duplicate Letter</w:t>
      </w:r>
    </w:p>
    <w:p>
      <w:pPr>
        <w:sectPr>
          <w:pgSz w:w="11900" w:h="16838" w:orient="portrait"/>
          <w:cols w:equalWidth="0" w:num="2">
            <w:col w:w="1040" w:space="720"/>
            <w:col w:w="9540"/>
          </w:cols>
          <w:pgMar w:left="240" w:top="351" w:right="359" w:bottom="1440" w:gutter="0" w:footer="0" w:header="0"/>
          <w:type w:val="continuous"/>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Schoeneck, certify that;</w:t>
      </w:r>
    </w:p>
    <w:p>
      <w:pPr>
        <w:spacing w:after="0" w:line="117" w:lineRule="exact"/>
        <w:rPr>
          <w:sz w:val="20"/>
          <w:szCs w:val="20"/>
          <w:color w:val="auto"/>
        </w:rPr>
      </w:pPr>
    </w:p>
    <w:p>
      <w:pPr>
        <w:ind w:left="180" w:hanging="172"/>
        <w:spacing w:after="0"/>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440" w:firstLine="526"/>
        <w:spacing w:after="0" w:line="264" w:lineRule="auto"/>
        <w:tabs>
          <w:tab w:leader="none" w:pos="763"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hanging="254"/>
        <w:spacing w:after="0"/>
        <w:tabs>
          <w:tab w:leader="none" w:pos="7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7"/>
          <w:szCs w:val="17"/>
          <w:color w:val="auto"/>
        </w:rPr>
      </w:pPr>
    </w:p>
    <w:p>
      <w:pPr>
        <w:ind w:right="960" w:firstLine="526"/>
        <w:spacing w:after="0" w:line="342" w:lineRule="auto"/>
        <w:tabs>
          <w:tab w:leader="none" w:pos="763"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0" w:firstLine="526"/>
        <w:spacing w:after="0" w:line="264" w:lineRule="auto"/>
        <w:tabs>
          <w:tab w:leader="none" w:pos="773"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40" w:firstLine="526"/>
        <w:spacing w:after="0" w:line="277" w:lineRule="auto"/>
        <w:tabs>
          <w:tab w:leader="none" w:pos="763"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00" w:firstLine="526"/>
        <w:spacing w:after="0" w:line="277" w:lineRule="auto"/>
        <w:tabs>
          <w:tab w:leader="none" w:pos="773"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12,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Schoeneck</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James Schoeneck</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Interim Chief Executive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 Cotroneo, certify that;</w:t>
      </w:r>
    </w:p>
    <w:p>
      <w:pPr>
        <w:spacing w:after="0" w:line="117"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440" w:firstLine="526"/>
        <w:spacing w:after="0" w:line="264" w:lineRule="auto"/>
        <w:tabs>
          <w:tab w:leader="none" w:pos="763"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hanging="254"/>
        <w:spacing w:after="0"/>
        <w:tabs>
          <w:tab w:leader="none" w:pos="78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7"/>
          <w:szCs w:val="17"/>
          <w:color w:val="auto"/>
        </w:rPr>
      </w:pPr>
    </w:p>
    <w:p>
      <w:pPr>
        <w:ind w:right="960" w:firstLine="526"/>
        <w:spacing w:after="0" w:line="342" w:lineRule="auto"/>
        <w:tabs>
          <w:tab w:leader="none" w:pos="763"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0" w:firstLine="526"/>
        <w:spacing w:after="0" w:line="264" w:lineRule="auto"/>
        <w:tabs>
          <w:tab w:leader="none" w:pos="773"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40" w:firstLine="526"/>
        <w:spacing w:after="0" w:line="277" w:lineRule="auto"/>
        <w:tabs>
          <w:tab w:leader="none" w:pos="763"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00" w:firstLine="526"/>
        <w:spacing w:after="0" w:line="277" w:lineRule="auto"/>
        <w:tabs>
          <w:tab w:leader="none" w:pos="773"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12,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 Cotroneo</w:t>
            </w:r>
          </w:p>
        </w:tc>
      </w:tr>
      <w:tr>
        <w:trPr>
          <w:trHeight w:val="209"/>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Pat Cotroneo</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7"/>
              </w:rPr>
              <w:t>Senior Vice President, Finance and Chief Financial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(“Exchange Act”), and Section 1350 of Chapter 63 of Title 18 of the United States Code (18 U.S.C. §1350), James Schoeneck, Interim Chief Executive Officer of FibroGen, Inc. (“the Company”), and Pat Cotroneo, Chief Financial Officer of the Company, each hereby certifies that, to the best of his knowledge:</w:t>
      </w:r>
    </w:p>
    <w:p>
      <w:pPr>
        <w:spacing w:after="0" w:line="181" w:lineRule="exact"/>
        <w:rPr>
          <w:sz w:val="20"/>
          <w:szCs w:val="20"/>
          <w:color w:val="auto"/>
        </w:rPr>
      </w:pPr>
    </w:p>
    <w:p>
      <w:pPr>
        <w:ind w:left="520" w:right="500" w:hanging="512"/>
        <w:spacing w:after="0" w:line="277"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2019, to which this Certification is attached as Exhibit 32.1 (“Periodic Report”)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520" w:right="580" w:hanging="512"/>
        <w:spacing w:after="0" w:line="277"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12,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have set their hands hereto as of the 12</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November,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/s/ James Schoeneck</w:t>
            </w:r>
          </w:p>
        </w:tc>
        <w:tc>
          <w:tcPr>
            <w:tcW w:w="5140" w:type="dxa"/>
            <w:vAlign w:val="bottom"/>
          </w:tcPr>
          <w:p>
            <w:pPr>
              <w:spacing w:after="0"/>
              <w:rPr>
                <w:sz w:val="20"/>
                <w:szCs w:val="20"/>
                <w:color w:val="auto"/>
              </w:rPr>
            </w:pPr>
            <w:r>
              <w:rPr>
                <w:rFonts w:ascii="Arial" w:cs="Arial" w:eastAsia="Arial" w:hAnsi="Arial"/>
                <w:sz w:val="18"/>
                <w:szCs w:val="18"/>
                <w:color w:val="auto"/>
              </w:rPr>
              <w:t>/s/ Pat Cotroneo</w:t>
            </w: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Schoeneck</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Pat Cotroneo</w:t>
            </w: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color w:val="auto"/>
              </w:rPr>
              <w:t>Interim Chief Executive Officer</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 Finance and</w:t>
            </w: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decimal"/>
      <w:start w:val="1"/>
    </w:lvl>
  </w:abstractNum>
  <w:abstractNum w:abstractNumId="3">
    <w:nsid w:val="440BADFC"/>
    <w:multiLevelType w:val="hybridMultilevel"/>
    <w:lvl w:ilvl="0">
      <w:lvlJc w:val="left"/>
      <w:lvlText w:val="%1."/>
      <w:numFmt w:val="decimal"/>
      <w:start w:val="2"/>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1."/>
      <w:numFmt w:val="decimal"/>
      <w:start w:val="3"/>
    </w:lvl>
  </w:abstractNum>
  <w:abstractNum w:abstractNumId="7">
    <w:nsid w:val="7724C67E"/>
    <w:multiLevelType w:val="hybridMultilevel"/>
    <w:lvl w:ilvl="0">
      <w:lvlJc w:val="left"/>
      <w:lvlText w:val="%1."/>
      <w:numFmt w:val="decimal"/>
      <w:start w:val="4"/>
    </w:lvl>
  </w:abstractNum>
  <w:abstractNum w:abstractNumId="8">
    <w:nsid w:val="5C482A97"/>
    <w:multiLevelType w:val="hybridMultilevel"/>
    <w:lvl w:ilvl="0">
      <w:lvlJc w:val="left"/>
      <w:lvlText w:val="%1."/>
      <w:numFmt w:val="decimal"/>
      <w:start w:val="6"/>
    </w:lvl>
  </w:abstractNum>
  <w:abstractNum w:abstractNumId="9">
    <w:nsid w:val="2463B9EA"/>
    <w:multiLevelType w:val="hybridMultilevel"/>
    <w:lvl w:ilvl="0">
      <w:lvlJc w:val="left"/>
      <w:lvlText w:val="%1."/>
      <w:numFmt w:val="decimal"/>
      <w:start w:val="7"/>
    </w:lvl>
  </w:abstractNum>
  <w:abstractNum w:abstractNumId="10">
    <w:nsid w:val="5E884ADC"/>
    <w:multiLevelType w:val="hybridMultilevel"/>
    <w:lvl w:ilvl="0">
      <w:lvlJc w:val="left"/>
      <w:lvlText w:val="%1."/>
      <w:numFmt w:val="decimal"/>
      <w:start w:val="8"/>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o"/>
      <w:numFmt w:val="bullet"/>
      <w:start w:val="1"/>
    </w:lvl>
  </w:abstractNum>
  <w:abstractNum w:abstractNumId="13">
    <w:nsid w:val="580BD78F"/>
    <w:multiLevelType w:val="hybridMultilevel"/>
    <w:lvl w:ilvl="0">
      <w:lvlJc w:val="left"/>
      <w:lvlText w:val="o"/>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o"/>
      <w:numFmt w:val="bullet"/>
      <w:start w:val="1"/>
    </w:lvl>
  </w:abstractNum>
  <w:abstractNum w:abstractNumId="16">
    <w:nsid w:val="70A64E2A"/>
    <w:multiLevelType w:val="hybridMultilevel"/>
    <w:lvl w:ilvl="0">
      <w:lvlJc w:val="left"/>
      <w:lvlText w:val="o"/>
      <w:numFmt w:val="bullet"/>
      <w:start w:val="1"/>
    </w:lvl>
  </w:abstractNum>
  <w:abstractNum w:abstractNumId="17">
    <w:nsid w:val="6A2342EC"/>
    <w:multiLevelType w:val="hybridMultilevel"/>
    <w:lvl w:ilvl="0">
      <w:lvlJc w:val="left"/>
      <w:lvlText w:val="o"/>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o"/>
      <w:numFmt w:val="bullet"/>
      <w:start w:val="1"/>
    </w:lvl>
  </w:abstractNum>
  <w:abstractNum w:abstractNumId="20">
    <w:nsid w:val="725A06FB"/>
    <w:multiLevelType w:val="hybridMultilevel"/>
    <w:lvl w:ilvl="0">
      <w:lvlJc w:val="left"/>
      <w:lvlText w:val="o"/>
      <w:numFmt w:val="bullet"/>
      <w:start w:val="1"/>
    </w:lvl>
  </w:abstractNum>
  <w:abstractNum w:abstractNumId="21">
    <w:nsid w:val="2CD89A32"/>
    <w:multiLevelType w:val="hybridMultilevel"/>
    <w:lvl w:ilvl="0">
      <w:lvlJc w:val="left"/>
      <w:lvlText w:val="o"/>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lvl w:ilvl="1">
      <w:lvlJc w:val="left"/>
      <w:lvlText w:val="%2"/>
      <w:numFmt w:val="decimal"/>
      <w:start w:val="104"/>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1."/>
      <w:numFmt w:val="decimal"/>
      <w:start w:val="1"/>
    </w:lvl>
    <w:lvl w:ilvl="1">
      <w:lvlJc w:val="left"/>
      <w:lvlText w:val="%2."/>
      <w:numFmt w:val="lowerLetter"/>
      <w:start w:val="1"/>
    </w:lvl>
  </w:abstractNum>
  <w:abstractNum w:abstractNumId="58">
    <w:nsid w:val="77AE35EB"/>
    <w:multiLevelType w:val="hybridMultilevel"/>
    <w:lvl w:ilvl="0">
      <w:lvlJc w:val="left"/>
      <w:lvlText w:val="%1."/>
      <w:numFmt w:val="decimal"/>
      <w:start w:val="1"/>
    </w:lvl>
  </w:abstractNum>
  <w:abstractNum w:abstractNumId="59">
    <w:nsid w:val="579BE4F1"/>
    <w:multiLevelType w:val="hybridMultilevel"/>
    <w:lvl w:ilvl="0">
      <w:lvlJc w:val="left"/>
      <w:lvlText w:val="%1."/>
      <w:numFmt w:val="decimal"/>
      <w:start w:val="2"/>
    </w:lvl>
  </w:abstractNum>
  <w:abstractNum w:abstractNumId="60">
    <w:nsid w:val="310C50B3"/>
    <w:multiLevelType w:val="hybridMultilevel"/>
    <w:lvl w:ilvl="0">
      <w:lvlJc w:val="left"/>
      <w:lvlText w:val="%1."/>
      <w:numFmt w:val="decimal"/>
      <w:start w:val="1"/>
    </w:lvl>
    <w:lvl w:ilvl="1">
      <w:lvlJc w:val="left"/>
      <w:lvlText w:val="•"/>
      <w:numFmt w:val="bullet"/>
      <w:start w:val="1"/>
    </w:lvl>
  </w:abstractNum>
  <w:abstractNum w:abstractNumId="61">
    <w:nsid w:val="5FF87E05"/>
    <w:multiLevelType w:val="hybridMultilevel"/>
    <w:lvl w:ilvl="0">
      <w:lvlJc w:val="left"/>
      <w:lvlText w:val="o"/>
      <w:numFmt w:val="bullet"/>
      <w:start w:val="1"/>
    </w:lvl>
  </w:abstractNum>
  <w:abstractNum w:abstractNumId="62">
    <w:nsid w:val="2F305DEF"/>
    <w:multiLevelType w:val="hybridMultilevel"/>
    <w:lvl w:ilvl="0">
      <w:lvlJc w:val="left"/>
      <w:lvlText w:val="%1."/>
      <w:numFmt w:val="decimal"/>
      <w:start w:val="3"/>
    </w:lvl>
  </w:abstractNum>
  <w:abstractNum w:abstractNumId="63">
    <w:nsid w:val="25A70BF7"/>
    <w:multiLevelType w:val="hybridMultilevel"/>
    <w:lvl w:ilvl="0">
      <w:lvlJc w:val="left"/>
      <w:lvlText w:val="•"/>
      <w:numFmt w:val="bullet"/>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09" Type="http://schemas.openxmlformats.org/officeDocument/2006/relationships/hyperlink" Target="http://www.sec.gov/Archives/edgar/data/921299/000119312514420380/d824859dex31.htm" TargetMode="External"/><Relationship Id="rId110" Type="http://schemas.openxmlformats.org/officeDocument/2006/relationships/hyperlink" Target="http://www.sec.gov/Archives/edgar/data/921299/000119312514380087/d720189dex34.htm" TargetMode="External"/><Relationship Id="rId111" Type="http://schemas.openxmlformats.org/officeDocument/2006/relationships/hyperlink" Target="http://www.sec.gov/Archives/edgar/data/921299/000119312514420380/d824859dex41.htm" TargetMode="External"/><Relationship Id="rId112" Type="http://schemas.openxmlformats.org/officeDocument/2006/relationships/hyperlink" Target="http://www.sec.gov/Archives/edgar/data/921299/000119312514381669/d720189dex417.htm" TargetMode="External"/><Relationship Id="rId113" Type="http://schemas.openxmlformats.org/officeDocument/2006/relationships/hyperlink" Target="http://www.sec.gov/Archives/edgar/data/921299/000156459017022738/fgen-ex46_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2019-12-28T01:48:21Z</dcterms:created>
  <dcterms:modified xsi:type="dcterms:W3CDTF">2019-12-28T01:48:21Z</dcterms:modified>
</cp:coreProperties>
</file>