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500" w:right="22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right="20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For the transition period from</w:t>
            </w:r>
          </w:p>
        </w:tc>
        <w:tc>
          <w:tcPr>
            <w:tcW w:w="620" w:type="dxa"/>
            <w:vAlign w:val="bottom"/>
            <w:tcBorders>
              <w:bottom w:val="single" w:sz="8" w:color="auto"/>
            </w:tcBorders>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720" w:type="dxa"/>
            <w:vAlign w:val="bottom"/>
            <w:tcBorders>
              <w:bottom w:val="single" w:sz="8" w:color="auto"/>
            </w:tcBorders>
          </w:tcPr>
          <w:p>
            <w:pPr>
              <w:spacing w:after="0"/>
              <w:rPr>
                <w:sz w:val="17"/>
                <w:szCs w:val="17"/>
                <w:color w:val="auto"/>
              </w:rPr>
            </w:pPr>
          </w:p>
        </w:tc>
        <w:tc>
          <w:tcPr>
            <w:tcW w:w="3200" w:type="dxa"/>
            <w:vAlign w:val="bottom"/>
            <w:gridSpan w:val="2"/>
          </w:tcPr>
          <w:p>
            <w:pPr>
              <w:spacing w:after="0"/>
              <w:rPr>
                <w:sz w:val="17"/>
                <w:szCs w:val="17"/>
                <w:color w:val="auto"/>
              </w:rPr>
            </w:pPr>
          </w:p>
        </w:tc>
      </w:tr>
      <w:tr>
        <w:trPr>
          <w:trHeight w:val="345"/>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8"/>
          </w:tcPr>
          <w:p>
            <w:pPr>
              <w:jc w:val="center"/>
              <w:ind w:right="3299"/>
              <w:spacing w:after="0"/>
              <w:rPr>
                <w:sz w:val="20"/>
                <w:szCs w:val="20"/>
                <w:color w:val="auto"/>
              </w:rPr>
            </w:pPr>
            <w:r>
              <w:rPr>
                <w:rFonts w:ascii="Arial" w:cs="Arial" w:eastAsia="Arial" w:hAnsi="Arial"/>
                <w:sz w:val="18"/>
                <w:szCs w:val="18"/>
                <w:b w:val="1"/>
                <w:bCs w:val="1"/>
                <w:color w:val="auto"/>
                <w:w w:val="90"/>
              </w:rPr>
              <w:t>Commission file number: 001-36740</w:t>
            </w:r>
          </w:p>
        </w:tc>
      </w:tr>
      <w:tr>
        <w:trPr>
          <w:trHeight w:val="94"/>
        </w:trPr>
        <w:tc>
          <w:tcPr>
            <w:tcW w:w="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583"/>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8"/>
          </w:tcPr>
          <w:p>
            <w:pPr>
              <w:jc w:val="center"/>
              <w:ind w:right="3299"/>
              <w:spacing w:after="0"/>
              <w:rPr>
                <w:sz w:val="20"/>
                <w:szCs w:val="20"/>
                <w:color w:val="auto"/>
              </w:rPr>
            </w:pPr>
            <w:r>
              <w:rPr>
                <w:rFonts w:ascii="Arial" w:cs="Arial" w:eastAsia="Arial" w:hAnsi="Arial"/>
                <w:sz w:val="43"/>
                <w:szCs w:val="43"/>
                <w:b w:val="1"/>
                <w:bCs w:val="1"/>
                <w:color w:val="auto"/>
              </w:rPr>
              <w:t>FIBROGEN, INC.</w:t>
            </w:r>
          </w:p>
        </w:tc>
      </w:tr>
      <w:tr>
        <w:trPr>
          <w:trHeight w:val="234"/>
        </w:trPr>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240" w:type="dxa"/>
            <w:vAlign w:val="bottom"/>
            <w:gridSpan w:val="9"/>
          </w:tcPr>
          <w:p>
            <w:pPr>
              <w:jc w:val="center"/>
              <w:ind w:right="301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81"/>
        </w:trPr>
        <w:tc>
          <w:tcPr>
            <w:tcW w:w="8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60" w:type="dxa"/>
            <w:vAlign w:val="bottom"/>
          </w:tcPr>
          <w:p>
            <w:pPr>
              <w:spacing w:after="0"/>
              <w:rPr>
                <w:sz w:val="7"/>
                <w:szCs w:val="7"/>
                <w:color w:val="auto"/>
              </w:rPr>
            </w:pPr>
          </w:p>
        </w:tc>
      </w:tr>
      <w:tr>
        <w:trPr>
          <w:trHeight w:val="308"/>
        </w:trPr>
        <w:tc>
          <w:tcPr>
            <w:tcW w:w="80" w:type="dxa"/>
            <w:vAlign w:val="bottom"/>
          </w:tcPr>
          <w:p>
            <w:pPr>
              <w:spacing w:after="0"/>
              <w:rPr>
                <w:sz w:val="24"/>
                <w:szCs w:val="24"/>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1"/>
              </w:rPr>
              <w:t>Delaware</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60" w:type="dxa"/>
            <w:vAlign w:val="bottom"/>
            <w:gridSpan w:val="5"/>
          </w:tcPr>
          <w:p>
            <w:pPr>
              <w:jc w:val="right"/>
              <w:ind w:right="1799"/>
              <w:spacing w:after="0"/>
              <w:rPr>
                <w:sz w:val="20"/>
                <w:szCs w:val="20"/>
                <w:color w:val="auto"/>
              </w:rPr>
            </w:pPr>
            <w:r>
              <w:rPr>
                <w:rFonts w:ascii="Arial" w:cs="Arial" w:eastAsia="Arial" w:hAnsi="Arial"/>
                <w:sz w:val="18"/>
                <w:szCs w:val="18"/>
                <w:b w:val="1"/>
                <w:bCs w:val="1"/>
                <w:color w:val="auto"/>
              </w:rPr>
              <w:t>77-0357827</w:t>
            </w:r>
          </w:p>
        </w:tc>
      </w:tr>
      <w:tr>
        <w:trPr>
          <w:trHeight w:val="148"/>
        </w:trPr>
        <w:tc>
          <w:tcPr>
            <w:tcW w:w="80" w:type="dxa"/>
            <w:vAlign w:val="bottom"/>
          </w:tcPr>
          <w:p>
            <w:pPr>
              <w:spacing w:after="0"/>
              <w:rPr>
                <w:sz w:val="12"/>
                <w:szCs w:val="12"/>
                <w:color w:val="auto"/>
              </w:rPr>
            </w:pPr>
          </w:p>
        </w:tc>
        <w:tc>
          <w:tcPr>
            <w:tcW w:w="6040" w:type="dxa"/>
            <w:vAlign w:val="bottom"/>
            <w:gridSpan w:val="5"/>
          </w:tcPr>
          <w:p>
            <w:pPr>
              <w:jc w:val="center"/>
              <w:ind w:right="17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60" w:type="dxa"/>
            <w:vAlign w:val="bottom"/>
          </w:tcPr>
          <w:p>
            <w:pPr>
              <w:jc w:val="center"/>
              <w:ind w:right="13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0" w:type="dxa"/>
            <w:vAlign w:val="bottom"/>
          </w:tcPr>
          <w:p>
            <w:pPr>
              <w:spacing w:after="0"/>
              <w:rPr>
                <w:sz w:val="16"/>
                <w:szCs w:val="16"/>
                <w:color w:val="auto"/>
              </w:rPr>
            </w:pPr>
          </w:p>
        </w:tc>
        <w:tc>
          <w:tcPr>
            <w:tcW w:w="6040" w:type="dxa"/>
            <w:vAlign w:val="bottom"/>
            <w:gridSpan w:val="5"/>
          </w:tcPr>
          <w:p>
            <w:pPr>
              <w:jc w:val="center"/>
              <w:ind w:right="1720"/>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60" w:type="dxa"/>
            <w:vAlign w:val="bottom"/>
          </w:tcPr>
          <w:p>
            <w:pPr>
              <w:jc w:val="center"/>
              <w:ind w:right="1379"/>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80" w:type="dxa"/>
            <w:vAlign w:val="bottom"/>
          </w:tcPr>
          <w:p>
            <w:pPr>
              <w:spacing w:after="0"/>
              <w:rPr>
                <w:sz w:val="24"/>
                <w:szCs w:val="24"/>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1"/>
              </w:rPr>
              <w:t>409 Illinois Street</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2"/>
        </w:trPr>
        <w:tc>
          <w:tcPr>
            <w:tcW w:w="80" w:type="dxa"/>
            <w:vAlign w:val="bottom"/>
          </w:tcPr>
          <w:p>
            <w:pPr>
              <w:spacing w:after="0"/>
              <w:rPr>
                <w:sz w:val="18"/>
                <w:szCs w:val="18"/>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0"/>
              </w:rPr>
              <w:t>San Francisco, CA</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60" w:type="dxa"/>
            <w:vAlign w:val="bottom"/>
            <w:gridSpan w:val="5"/>
          </w:tcPr>
          <w:p>
            <w:pPr>
              <w:jc w:val="right"/>
              <w:ind w:right="1999"/>
              <w:spacing w:after="0"/>
              <w:rPr>
                <w:sz w:val="20"/>
                <w:szCs w:val="20"/>
                <w:color w:val="auto"/>
              </w:rPr>
            </w:pPr>
            <w:r>
              <w:rPr>
                <w:rFonts w:ascii="Arial" w:cs="Arial" w:eastAsia="Arial" w:hAnsi="Arial"/>
                <w:sz w:val="18"/>
                <w:szCs w:val="18"/>
                <w:b w:val="1"/>
                <w:bCs w:val="1"/>
                <w:color w:val="auto"/>
              </w:rPr>
              <w:t>94158</w:t>
            </w:r>
          </w:p>
        </w:tc>
      </w:tr>
      <w:tr>
        <w:trPr>
          <w:trHeight w:val="186"/>
        </w:trPr>
        <w:tc>
          <w:tcPr>
            <w:tcW w:w="80" w:type="dxa"/>
            <w:vAlign w:val="bottom"/>
          </w:tcPr>
          <w:p>
            <w:pPr>
              <w:spacing w:after="0"/>
              <w:rPr>
                <w:sz w:val="16"/>
                <w:szCs w:val="16"/>
                <w:color w:val="auto"/>
              </w:rPr>
            </w:pPr>
          </w:p>
        </w:tc>
        <w:tc>
          <w:tcPr>
            <w:tcW w:w="6040" w:type="dxa"/>
            <w:vAlign w:val="bottom"/>
            <w:gridSpan w:val="5"/>
          </w:tcPr>
          <w:p>
            <w:pPr>
              <w:jc w:val="center"/>
              <w:ind w:right="17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60" w:type="dxa"/>
            <w:vAlign w:val="bottom"/>
          </w:tcPr>
          <w:p>
            <w:pPr>
              <w:jc w:val="center"/>
              <w:ind w:right="1379"/>
              <w:spacing w:after="0"/>
              <w:rPr>
                <w:sz w:val="20"/>
                <w:szCs w:val="20"/>
                <w:color w:val="auto"/>
              </w:rPr>
            </w:pPr>
            <w:r>
              <w:rPr>
                <w:rFonts w:ascii="Arial" w:cs="Arial" w:eastAsia="Arial" w:hAnsi="Arial"/>
                <w:sz w:val="14"/>
                <w:szCs w:val="14"/>
                <w:b w:val="1"/>
                <w:bCs w:val="1"/>
                <w:color w:val="auto"/>
                <w:w w:val="95"/>
              </w:rPr>
              <w:t>(Zip Code)</w:t>
            </w:r>
          </w:p>
        </w:tc>
      </w:tr>
      <w:tr>
        <w:trPr>
          <w:trHeight w:val="232"/>
        </w:trPr>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8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90"/>
              </w:rPr>
              <w:t>(415) 978-1200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186"/>
        </w:trPr>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960" w:type="dxa"/>
            <w:vAlign w:val="bottom"/>
            <w:gridSpan w:val="8"/>
          </w:tcPr>
          <w:p>
            <w:pPr>
              <w:jc w:val="center"/>
              <w:ind w:right="331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66"/>
        </w:trPr>
        <w:tc>
          <w:tcPr>
            <w:tcW w:w="80" w:type="dxa"/>
            <w:vAlign w:val="bottom"/>
          </w:tcPr>
          <w:p>
            <w:pPr>
              <w:spacing w:after="0"/>
              <w:rPr>
                <w:sz w:val="5"/>
                <w:szCs w:val="5"/>
                <w:color w:val="auto"/>
              </w:rPr>
            </w:pPr>
          </w:p>
        </w:tc>
        <w:tc>
          <w:tcPr>
            <w:tcW w:w="324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160" w:type="dxa"/>
            <w:vAlign w:val="bottom"/>
          </w:tcPr>
          <w:p>
            <w:pPr>
              <w:spacing w:after="0"/>
              <w:rPr>
                <w:sz w:val="5"/>
                <w:szCs w:val="5"/>
                <w:color w:val="auto"/>
              </w:rPr>
            </w:pPr>
          </w:p>
        </w:tc>
      </w:tr>
      <w:tr>
        <w:trPr>
          <w:trHeight w:val="264"/>
        </w:trPr>
        <w:tc>
          <w:tcPr>
            <w:tcW w:w="61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81"/>
        </w:trPr>
        <w:tc>
          <w:tcPr>
            <w:tcW w:w="80" w:type="dxa"/>
            <w:vAlign w:val="bottom"/>
          </w:tcPr>
          <w:p>
            <w:pPr>
              <w:spacing w:after="0"/>
              <w:rPr>
                <w:sz w:val="7"/>
                <w:szCs w:val="7"/>
                <w:color w:val="auto"/>
              </w:rPr>
            </w:pPr>
          </w:p>
        </w:tc>
        <w:tc>
          <w:tcPr>
            <w:tcW w:w="29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tcPr>
          <w:p>
            <w:pPr>
              <w:spacing w:after="0"/>
              <w:rPr>
                <w:sz w:val="7"/>
                <w:szCs w:val="7"/>
                <w:color w:val="auto"/>
              </w:rPr>
            </w:pPr>
          </w:p>
        </w:tc>
      </w:tr>
      <w:tr>
        <w:trPr>
          <w:trHeight w:val="191"/>
        </w:trPr>
        <w:tc>
          <w:tcPr>
            <w:tcW w:w="80" w:type="dxa"/>
            <w:vAlign w:val="bottom"/>
            <w:tcBorders>
              <w:right w:val="single" w:sz="8" w:color="auto"/>
            </w:tcBorders>
          </w:tcPr>
          <w:p>
            <w:pPr>
              <w:spacing w:after="0"/>
              <w:rPr>
                <w:sz w:val="16"/>
                <w:szCs w:val="16"/>
                <w:color w:val="auto"/>
              </w:rPr>
            </w:pPr>
          </w:p>
        </w:tc>
        <w:tc>
          <w:tcPr>
            <w:tcW w:w="2960" w:type="dxa"/>
            <w:vAlign w:val="bottom"/>
          </w:tcPr>
          <w:p>
            <w:pPr>
              <w:ind w:left="940"/>
              <w:spacing w:after="0" w:line="191" w:lineRule="exact"/>
              <w:rPr>
                <w:sz w:val="20"/>
                <w:szCs w:val="20"/>
                <w:color w:val="auto"/>
              </w:rPr>
            </w:pPr>
            <w:r>
              <w:rPr>
                <w:rFonts w:ascii="Arial" w:cs="Arial" w:eastAsia="Arial" w:hAnsi="Arial"/>
                <w:sz w:val="18"/>
                <w:szCs w:val="18"/>
                <w:b w:val="1"/>
                <w:bCs w:val="1"/>
                <w:color w:val="auto"/>
              </w:rPr>
              <w:t>Title of each class</w:t>
            </w:r>
          </w:p>
        </w:tc>
        <w:tc>
          <w:tcPr>
            <w:tcW w:w="2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2"/>
          </w:tcPr>
          <w:p>
            <w:pPr>
              <w:jc w:val="center"/>
              <w:ind w:left="210"/>
              <w:spacing w:after="0" w:line="191" w:lineRule="exact"/>
              <w:rPr>
                <w:sz w:val="20"/>
                <w:szCs w:val="20"/>
                <w:color w:val="auto"/>
              </w:rPr>
            </w:pPr>
            <w:r>
              <w:rPr>
                <w:rFonts w:ascii="Arial" w:cs="Arial" w:eastAsia="Arial" w:hAnsi="Arial"/>
                <w:sz w:val="18"/>
                <w:szCs w:val="18"/>
                <w:b w:val="1"/>
                <w:bCs w:val="1"/>
                <w:color w:val="auto"/>
                <w:w w:val="91"/>
              </w:rPr>
              <w:t>Trading Symbol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80" w:type="dxa"/>
            <w:vAlign w:val="bottom"/>
            <w:tcBorders>
              <w:right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0"/>
        </w:trPr>
        <w:tc>
          <w:tcPr>
            <w:tcW w:w="80" w:type="dxa"/>
            <w:vAlign w:val="bottom"/>
            <w:tcBorders>
              <w:right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1"/>
              </w:rPr>
              <w:t>FGEN</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67" w:lineRule="exact"/>
        <w:rPr>
          <w:sz w:val="24"/>
          <w:szCs w:val="24"/>
          <w:color w:val="auto"/>
        </w:rPr>
      </w:pPr>
    </w:p>
    <w:p>
      <w:pPr>
        <w:jc w:val="both"/>
        <w:ind w:right="40" w:firstLine="56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40" w:firstLine="56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8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 w:lineRule="exact"/>
        <w:rPr>
          <w:sz w:val="24"/>
          <w:szCs w:val="24"/>
          <w:color w:val="auto"/>
        </w:rPr>
      </w:pPr>
    </w:p>
    <w:p>
      <w:pPr>
        <w:ind w:right="220" w:firstLine="56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80" w:right="160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October 31, 2021 was 92,709,943.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434340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restart"/>
          </w:tcPr>
          <w:p>
            <w:pPr>
              <w:spacing w:after="0"/>
              <w:rPr>
                <w:sz w:val="14"/>
                <w:szCs w:val="14"/>
                <w:color w:val="auto"/>
              </w:rPr>
            </w:pPr>
          </w:p>
        </w:tc>
        <w:tc>
          <w:tcPr>
            <w:tcW w:w="7040" w:type="dxa"/>
            <w:vAlign w:val="bottom"/>
            <w:gridSpan w:val="14"/>
            <w:vMerge w:val="restart"/>
          </w:tcPr>
          <w:p>
            <w:pPr>
              <w:jc w:val="center"/>
              <w:ind w:right="388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040" w:type="dxa"/>
            <w:vAlign w:val="bottom"/>
            <w:gridSpan w:val="14"/>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42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Financial Statements (Unaudited)</w:t>
              </w:r>
            </w:hyperlink>
          </w:p>
        </w:tc>
        <w:tc>
          <w:tcPr>
            <w:tcW w:w="562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September 30, 2021 and December 31, 2020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5"/>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Operations for the Three and Nine Months Ended September 30, 2021 and 2020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6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(Loss) for the Three and Nine Months Ended September 30, 2021 and</w:t>
              </w:r>
            </w:hyperlink>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2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2020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1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Changes in Equity for the Three and Nine Months Ended September 30, 2021 and 2020</w:t>
              </w:r>
            </w:hyperlink>
          </w:p>
        </w:tc>
        <w:tc>
          <w:tcPr>
            <w:tcW w:w="7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88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 for the Nine Months Ended September 30, 2021 and 2020 (Unaudited)</w:t>
              </w:r>
            </w:hyperlink>
          </w:p>
        </w:tc>
        <w:tc>
          <w:tcPr>
            <w:tcW w:w="104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gridSpan w:val="2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Notes to the Condensed Consolidated Financial Statements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880" w:type="dxa"/>
            <w:vAlign w:val="bottom"/>
            <w:gridSpan w:val="2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4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80" w:type="dxa"/>
            <w:vAlign w:val="bottom"/>
            <w:gridSpan w:val="2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40" w:type="dxa"/>
            <w:vAlign w:val="bottom"/>
            <w:gridSpan w:val="14"/>
          </w:tcPr>
          <w:p>
            <w:pPr>
              <w:jc w:val="center"/>
              <w:ind w:right="386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000" w:type="dxa"/>
            <w:vAlign w:val="bottom"/>
            <w:gridSpan w:val="1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2860" w:type="dxa"/>
            <w:vAlign w:val="bottom"/>
            <w:tcBorders>
              <w:top w:val="single" w:sz="8" w:color="0000EE"/>
            </w:tcBorders>
            <w:gridSpan w:val="5"/>
          </w:tcPr>
          <w:p>
            <w:pPr>
              <w:spacing w:after="0"/>
              <w:rPr>
                <w:sz w:val="24"/>
                <w:szCs w:val="24"/>
                <w:color w:val="auto"/>
              </w:rPr>
            </w:pPr>
          </w:p>
        </w:tc>
        <w:tc>
          <w:tcPr>
            <w:tcW w:w="402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17"/>
                <w:szCs w:val="17"/>
                <w:color w:val="auto"/>
              </w:rPr>
            </w:pPr>
          </w:p>
        </w:tc>
        <w:tc>
          <w:tcPr>
            <w:tcW w:w="856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Unregistered Sales of Equity Securities and Use of Proceeds</w:t>
              </w:r>
            </w:hyperlink>
          </w:p>
        </w:tc>
        <w:tc>
          <w:tcPr>
            <w:tcW w:w="554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Defaults Upon Senior Securities</w:t>
              </w:r>
            </w:hyperlink>
          </w:p>
        </w:tc>
        <w:tc>
          <w:tcPr>
            <w:tcW w:w="756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80" w:type="dxa"/>
            <w:vAlign w:val="bottom"/>
            <w:gridSpan w:val="2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Mine Safety Disclosures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Other Information</w:t>
              </w:r>
            </w:hyperlink>
          </w:p>
        </w:tc>
        <w:tc>
          <w:tcPr>
            <w:tcW w:w="812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Exhibits</w:t>
              </w:r>
            </w:hyperlink>
          </w:p>
        </w:tc>
        <w:tc>
          <w:tcPr>
            <w:tcW w:w="700" w:type="dxa"/>
            <w:vAlign w:val="bottom"/>
            <w:tcBorders>
              <w:top w:val="single" w:sz="8" w:color="0000EE"/>
            </w:tcBorders>
            <w:gridSpan w:val="4"/>
          </w:tcPr>
          <w:p>
            <w:pPr>
              <w:spacing w:after="0"/>
              <w:rPr>
                <w:sz w:val="17"/>
                <w:szCs w:val="17"/>
                <w:color w:val="auto"/>
              </w:rPr>
            </w:pPr>
          </w:p>
        </w:tc>
        <w:tc>
          <w:tcPr>
            <w:tcW w:w="858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90">
              <w:r>
                <w:rPr>
                  <w:rFonts w:ascii="Arial" w:cs="Arial" w:eastAsia="Arial" w:hAnsi="Arial"/>
                  <w:sz w:val="18"/>
                  <w:szCs w:val="18"/>
                  <w:color w:val="0000EE"/>
                  <w:w w:val="85"/>
                </w:rPr>
                <w:t>Signatures</w:t>
              </w:r>
            </w:hyperlink>
          </w:p>
        </w:tc>
        <w:tc>
          <w:tcPr>
            <w:tcW w:w="9120" w:type="dxa"/>
            <w:vAlign w:val="bottom"/>
            <w:gridSpan w:val="2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884"/>
        </w:trPr>
        <w:tc>
          <w:tcPr>
            <w:tcW w:w="920" w:type="dxa"/>
            <w:vAlign w:val="bottom"/>
          </w:tcPr>
          <w:p>
            <w:pPr>
              <w:spacing w:after="0"/>
              <w:rPr>
                <w:sz w:val="24"/>
                <w:szCs w:val="24"/>
                <w:color w:val="auto"/>
              </w:rPr>
            </w:pPr>
          </w:p>
        </w:tc>
        <w:tc>
          <w:tcPr>
            <w:tcW w:w="5160" w:type="dxa"/>
            <w:vAlign w:val="bottom"/>
            <w:gridSpan w:val="16"/>
          </w:tcPr>
          <w:p>
            <w:pPr>
              <w:ind w:left="466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success of the Company will depend on a number of factors, many of which are beyond our control and involve risks, including but not limited to the following: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substantially dependent on the success of our lead product, roxadustat, and our second compound in development, pamrevlumab.</w:t>
      </w:r>
    </w:p>
    <w:p>
      <w:pPr>
        <w:spacing w:after="0" w:line="34" w:lineRule="exact"/>
        <w:rPr>
          <w:rFonts w:ascii="Arial" w:cs="Arial" w:eastAsia="Arial" w:hAnsi="Arial"/>
          <w:sz w:val="17"/>
          <w:szCs w:val="17"/>
          <w:color w:val="auto"/>
        </w:rPr>
      </w:pPr>
    </w:p>
    <w:p>
      <w:pPr>
        <w:ind w:left="500" w:right="260" w:hanging="492"/>
        <w:spacing w:after="0" w:line="265"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a company, we have limited commercialization experience, and the time and resources to develop such experience are significant. If we fail to achieve and sustain commercial success for roxadustat with our collaboration partners, our business would be harmed.</w:t>
      </w:r>
    </w:p>
    <w:p>
      <w:pPr>
        <w:ind w:left="500" w:right="4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Although regulatory approval has been obtained for roxadustat in the European Union, Great Britain, China, Japan, South Korea, and Chile, we may be unable to obtain regulatory approval for other countries, or such approval may be delayed or limited, due to a number of factors, many of which are beyond our control.</w:t>
      </w:r>
    </w:p>
    <w:p>
      <w:pPr>
        <w:spacing w:after="0" w:line="1" w:lineRule="exact"/>
        <w:rPr>
          <w:rFonts w:ascii="Arial" w:cs="Arial" w:eastAsia="Arial" w:hAnsi="Arial"/>
          <w:sz w:val="18"/>
          <w:szCs w:val="18"/>
          <w:color w:val="auto"/>
        </w:rPr>
      </w:pPr>
    </w:p>
    <w:p>
      <w:pPr>
        <w:ind w:left="500" w:right="14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CRL we received for roxadustat has decreased the likelihood of approval and successful commercialization of roxadustat in the U.S., will decrease and/or delay expected revenue, and may increase the possibility that our Collaboration Agreement with AstraZeneca could be amended or terminated.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Phase 1 and Phase 2 clinical trial results may not be indicative of the results that may be obtained in larger clinical trials.</w:t>
      </w:r>
    </w:p>
    <w:p>
      <w:pPr>
        <w:spacing w:after="0" w:line="9"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ind w:left="500" w:right="18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may cause or have attributed to them undesirable side effects or have other properties that delay or prevent their regulatory approval or limit their commercial potential.</w:t>
      </w: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trials of our product candidates may not uncover all possible adverse effects that patients may experience.</w:t>
      </w:r>
    </w:p>
    <w:p>
      <w:pPr>
        <w:spacing w:after="0" w:line="9" w:lineRule="exact"/>
        <w:rPr>
          <w:rFonts w:ascii="Arial" w:cs="Arial" w:eastAsia="Arial" w:hAnsi="Arial"/>
          <w:sz w:val="18"/>
          <w:szCs w:val="18"/>
          <w:color w:val="auto"/>
        </w:rPr>
      </w:pPr>
    </w:p>
    <w:p>
      <w:pPr>
        <w:ind w:left="500" w:right="20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manufacturers or we cannot properly manufacture the appropriate volume of product, we may experience delays in development, regulatory approval, launch or successful commercialization.</w:t>
      </w:r>
    </w:p>
    <w:p>
      <w:pPr>
        <w:ind w:left="500" w:right="2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ind w:left="500" w:right="18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are able to obtain regulatory approval of our product candidates, the label we obtain may limit the indicated uses for which our product candidates may be marketed.</w:t>
      </w: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in the discovery, development and commercialization of product candidates.</w:t>
      </w:r>
    </w:p>
    <w:p>
      <w:pPr>
        <w:spacing w:after="0" w:line="9" w:lineRule="exact"/>
        <w:rPr>
          <w:rFonts w:ascii="Arial" w:cs="Arial" w:eastAsia="Arial" w:hAnsi="Arial"/>
          <w:sz w:val="18"/>
          <w:szCs w:val="18"/>
          <w:color w:val="auto"/>
        </w:rPr>
      </w:pPr>
    </w:p>
    <w:p>
      <w:pPr>
        <w:ind w:left="500" w:right="52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healthcare payors, and others in the medical community necessary for commercial success.</w:t>
      </w:r>
    </w:p>
    <w:p>
      <w:pPr>
        <w:ind w:left="500" w:right="40" w:hanging="492"/>
        <w:spacing w:after="0" w:line="26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or limited reimbursement or insurance coverage of our approved products, if any, by third-party payors may render our products less attractive to patients and healthcare providers.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2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could continue to be adversely affected by the ongoing COVID-19 global pandemic.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500" w:right="80" w:hanging="492"/>
        <w:spacing w:after="0" w:line="25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preclinical and clinical trial contractors do not properly perform their agreed upon obligations, we may not be able to obtain or may be delayed in receiving regulatory approvals for our product candidates.</w:t>
      </w:r>
    </w:p>
    <w:p>
      <w:pPr>
        <w:ind w:left="500" w:right="180" w:hanging="492"/>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third parties to conduct many aspects of our product manufacturing and distribution, and these third parties may terminate these agreements or not perform satisfactorily.</w:t>
      </w:r>
    </w:p>
    <w:p>
      <w:pPr>
        <w:ind w:left="500" w:right="140" w:hanging="492"/>
        <w:spacing w:after="0" w:line="26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efforts to protect our proprietary technologies are not adequate, we may not be able to compete effectively in our market.</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Intellectual property disputes may be costly, time consuming, and may negatively affect our competitive position.</w:t>
      </w:r>
    </w:p>
    <w:p>
      <w:pPr>
        <w:spacing w:after="0" w:line="9"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ind w:left="500" w:right="16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maintaining our patent protection is high and requires continuous review and diligence. We may not be able to effectively maintain our intellectual property position throughout the major markets of the world.</w:t>
      </w:r>
    </w:p>
    <w:p>
      <w:pPr>
        <w:ind w:left="500" w:right="100" w:hanging="492"/>
        <w:spacing w:after="0" w:line="26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 rights do not address all potential threats to any competitive advantage we may have.</w:t>
      </w:r>
    </w:p>
    <w:p>
      <w:pPr>
        <w:spacing w:after="0" w:line="23" w:lineRule="exact"/>
        <w:rPr>
          <w:rFonts w:ascii="Arial" w:cs="Arial" w:eastAsia="Arial" w:hAnsi="Arial"/>
          <w:sz w:val="18"/>
          <w:szCs w:val="18"/>
          <w:color w:val="auto"/>
        </w:rPr>
      </w:pPr>
    </w:p>
    <w:p>
      <w:pPr>
        <w:ind w:left="500" w:right="400" w:hanging="492"/>
        <w:spacing w:after="0" w:line="26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existence of counterfeit pharmaceutical products in pharmaceutical markets may compromise our brand and reputation and have a material adverse effect on our business, operations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regulatory approval process is highly uncertain and we may not obtain regulatory approval for our product candidates.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could fail to receive regulatory approval from the FDA or other regulatory authorities for many reasons.</w:t>
      </w:r>
    </w:p>
    <w:p>
      <w:pPr>
        <w:spacing w:after="0" w:line="9" w:lineRule="exact"/>
        <w:rPr>
          <w:rFonts w:ascii="Arial" w:cs="Arial" w:eastAsia="Arial" w:hAnsi="Arial"/>
          <w:sz w:val="18"/>
          <w:szCs w:val="18"/>
          <w:color w:val="auto"/>
        </w:rPr>
      </w:pPr>
    </w:p>
    <w:p>
      <w:pPr>
        <w:ind w:left="500" w:right="16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laws and regulations governing corruption, which will require us to maintain costly compliance programs.</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these, or if we otherwise fail to maintain an effective system of internal control, it may result in material misstatements in our financial statements.</w:t>
      </w: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U.S. healthcare reform may adversely affect our business model.</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Roxadustat is considered a Class 2 substance on the 2019 World Anti-Doping Agency Prohibited List that could limit sales and increase security and distribution costs for our partners and us.</w:t>
      </w: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employees may engage in misconduct or improper activities, which could result in significant liability or harm our reputation.</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environmental, health or safety laws and regulations, we could incur fines, penalties or other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left="500" w:right="320" w:hanging="492"/>
        <w:spacing w:after="0" w:line="25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pharmaceutical industry in China is highly regulated and such regulations are subject to change.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limited experience distributing drugs in China.</w:t>
      </w:r>
    </w:p>
    <w:p>
      <w:pPr>
        <w:spacing w:after="0" w:line="9" w:lineRule="exact"/>
        <w:rPr>
          <w:rFonts w:ascii="Arial" w:cs="Arial" w:eastAsia="Arial" w:hAnsi="Arial"/>
          <w:sz w:val="18"/>
          <w:szCs w:val="18"/>
          <w:color w:val="auto"/>
        </w:rPr>
      </w:pPr>
    </w:p>
    <w:p>
      <w:pPr>
        <w:ind w:left="500" w:right="2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1" w:lineRule="exact"/>
        <w:rPr>
          <w:rFonts w:ascii="Arial" w:cs="Arial" w:eastAsia="Arial" w:hAnsi="Arial"/>
          <w:sz w:val="18"/>
          <w:szCs w:val="18"/>
          <w:color w:val="auto"/>
        </w:rPr>
      </w:pPr>
    </w:p>
    <w:p>
      <w:pPr>
        <w:ind w:left="500" w:right="4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company, we have limited experience in pharmacovigilance, medical affairs, and management of the third-party distribution logistics, and cannot assure you we will be able to meet regulatory requirements or operate in these capacities successfully.</w:t>
      </w:r>
    </w:p>
    <w:p>
      <w:pPr>
        <w:ind w:left="500" w:right="2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collaboration partner in China, AstraZeneca, and we may experience difficulties in successfully growing and sustaining sales of roxadustat in China.</w:t>
      </w: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retail prices of any product candidates that we develop may be subject to pricing control in China and elsewhere.</w:t>
      </w:r>
    </w:p>
    <w:p>
      <w:pPr>
        <w:spacing w:after="0" w:line="9" w:lineRule="exact"/>
        <w:rPr>
          <w:rFonts w:ascii="Arial" w:cs="Arial" w:eastAsia="Arial" w:hAnsi="Arial"/>
          <w:sz w:val="18"/>
          <w:szCs w:val="18"/>
          <w:color w:val="auto"/>
        </w:rPr>
      </w:pPr>
    </w:p>
    <w:p>
      <w:pPr>
        <w:ind w:left="500" w:right="1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FibroGen Beijing would be subject to restrictions on paying dividends or making other payments to us, which may restrict our ability to satisfy our liquidity requirements.</w:t>
      </w:r>
    </w:p>
    <w:p>
      <w:pPr>
        <w:ind w:left="500" w:right="2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capital contributions from us to FibroGen Beijing must be approved by the Ministry of Commerce in China, and failure to obtain such approval may materially and adversely affect the liquidity position of FibroGen Beijing.</w:t>
      </w:r>
    </w:p>
    <w:p>
      <w:pPr>
        <w:ind w:left="500" w:right="20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currency exchange rate fluctuations and currency exchange restrictions with respect to our operations in China, which could adversely affect our financial performance.</w:t>
      </w:r>
    </w:p>
    <w:p>
      <w:pPr>
        <w:ind w:left="500" w:right="280" w:hanging="492"/>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FibroGen Beijing’s funds are held in banks that do not provide insurance, the failure of any bank in which FibroGen Beijing deposits its funds could adversely affect our business.</w:t>
      </w: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tax inefficiencies associated with our offshore corporate structure.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foreign operations, particularly those in China, are subject to significant risks involving the protection of intellectual property.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with respect to the China legal system and regulations could have a material adverse effect on us.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China’s economic, governmental, or social conditions could have a material adverse effect on our business.</w:t>
      </w:r>
    </w:p>
    <w:p>
      <w:pPr>
        <w:spacing w:after="0" w:line="9" w:lineRule="exact"/>
        <w:rPr>
          <w:rFonts w:ascii="Arial" w:cs="Arial" w:eastAsia="Arial" w:hAnsi="Arial"/>
          <w:sz w:val="18"/>
          <w:szCs w:val="18"/>
          <w:color w:val="auto"/>
        </w:rPr>
      </w:pPr>
    </w:p>
    <w:p>
      <w:pPr>
        <w:ind w:left="500" w:right="80" w:hanging="492"/>
        <w:spacing w:after="0" w:line="26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Part II – Other Information, Item 1A. Risk Factors</w:t>
      </w:r>
      <w:r>
        <w:rPr>
          <w:rFonts w:ascii="Arial" w:cs="Arial" w:eastAsia="Arial" w:hAnsi="Arial"/>
          <w:sz w:val="18"/>
          <w:szCs w:val="18"/>
          <w:color w:val="auto"/>
        </w:rPr>
        <w:t xml:space="preserve"> for additional risk factors related to the operation of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also a variety of Risks Related to Our Common Stock</w:t>
      </w:r>
    </w:p>
    <w:p>
      <w:pPr>
        <w:spacing w:after="0" w:line="12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Part II – Other Information, Item 1A. Risk Factors</w:t>
      </w:r>
      <w:r>
        <w:rPr>
          <w:rFonts w:ascii="Arial" w:cs="Arial" w:eastAsia="Arial" w:hAnsi="Arial"/>
          <w:sz w:val="18"/>
          <w:szCs w:val="18"/>
          <w:color w:val="auto"/>
        </w:rPr>
        <w:t xml:space="preserve"> for additional risk factors related to our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FIBROGEN, INC.</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2020</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274,527</w:t>
            </w:r>
          </w:p>
        </w:tc>
        <w:tc>
          <w:tcPr>
            <w:tcW w:w="3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678,393</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211,875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8,144</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($23,126 and $4,127 from related parties)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41,883</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29,315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16,530</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 ($0 and $889 from related parties)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21,688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10,160</w:t>
            </w: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573,399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755,110</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Restricted time deposits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142,636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33,647</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Finance lease right-of-use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29,606</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Equity method investment in unconsolidated variable interest entity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94,055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FF0FC"/>
          </w:tcPr>
          <w:p>
            <w:pPr>
              <w:spacing w:after="0"/>
              <w:rPr>
                <w:sz w:val="19"/>
                <w:szCs w:val="19"/>
                <w:color w:val="auto"/>
              </w:rPr>
            </w:pPr>
          </w:p>
        </w:tc>
      </w:tr>
      <w:tr>
        <w:trPr>
          <w:trHeight w:val="263"/>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850,513</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826,840</w:t>
            </w:r>
          </w:p>
        </w:tc>
        <w:tc>
          <w:tcPr>
            <w:tcW w:w="100" w:type="dxa"/>
            <w:vAlign w:val="bottom"/>
            <w:tcBorders>
              <w:bottom w:val="single" w:sz="8" w:color="CFF0FC"/>
            </w:tcBorders>
          </w:tcPr>
          <w:p>
            <w:pPr>
              <w:spacing w:after="0"/>
              <w:rPr>
                <w:sz w:val="22"/>
                <w:szCs w:val="22"/>
                <w:color w:val="auto"/>
              </w:rPr>
            </w:pPr>
          </w:p>
        </w:tc>
      </w:tr>
      <w:tr>
        <w:trPr>
          <w:trHeight w:val="210"/>
        </w:trPr>
        <w:tc>
          <w:tcPr>
            <w:tcW w:w="7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Accounts payable ($0 and $1,118 to a related party)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23,868</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24,789</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 ($18 and $24 to a related party)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118,333</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Deferred revenue ($9,113 and $2,907 to a related party)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 liabilities, current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209,316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163,187</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Product development obligations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18,697</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($10,604 and $4,636 to a related party)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138,474</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Finance lease liabilities, non-current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25,391</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91,478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38,789</w:t>
            </w:r>
          </w:p>
        </w:tc>
        <w:tc>
          <w:tcPr>
            <w:tcW w:w="10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505,450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385,391</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and outstanding at September 30, 2021, and December 31, 2020</w:t>
            </w:r>
          </w:p>
        </w:tc>
        <w:tc>
          <w:tcPr>
            <w:tcW w:w="14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Common stock, $0.01 par value; 225,000 shares authorized at September 30, 2021, and December</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31, 2020; 92,708 and 91,441 shares issued and outstanding at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September 30, 2021, and December 31, 2020</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FF0FC"/>
          </w:tcPr>
          <w:p>
            <w:pPr>
              <w:spacing w:after="0"/>
              <w:rPr>
                <w:sz w:val="20"/>
                <w:szCs w:val="20"/>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1,458,979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1,399,774</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(4,499)</w:t>
            </w: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(1,129,956)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(974,011)</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325,792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422,178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345,063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441,449</w:t>
            </w: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850,513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826,840</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4"/>
                <w:szCs w:val="14"/>
                <w:color w:val="auto"/>
              </w:rPr>
            </w:pPr>
          </w:p>
        </w:tc>
        <w:tc>
          <w:tcPr>
            <w:tcW w:w="2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56"/>
        </w:trPr>
        <w:tc>
          <w:tcPr>
            <w:tcW w:w="498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980" w:type="dxa"/>
            <w:vAlign w:val="bottom"/>
          </w:tcPr>
          <w:p>
            <w:pPr>
              <w:ind w:left="260"/>
              <w:spacing w:after="0"/>
              <w:rPr>
                <w:sz w:val="20"/>
                <w:szCs w:val="20"/>
                <w:color w:val="auto"/>
              </w:rPr>
            </w:pPr>
            <w:r>
              <w:rPr>
                <w:rFonts w:ascii="Arial" w:cs="Arial" w:eastAsia="Arial" w:hAnsi="Arial"/>
                <w:sz w:val="18"/>
                <w:szCs w:val="18"/>
                <w:color w:val="auto"/>
              </w:rPr>
              <w:t>License revenue(includes $108,434, $0, $108,434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80" w:type="dxa"/>
            <w:vAlign w:val="bottom"/>
          </w:tcPr>
          <w:p>
            <w:pPr>
              <w:ind w:left="380"/>
              <w:spacing w:after="0"/>
              <w:rPr>
                <w:sz w:val="20"/>
                <w:szCs w:val="20"/>
                <w:color w:val="auto"/>
              </w:rPr>
            </w:pPr>
            <w:r>
              <w:rPr>
                <w:rFonts w:ascii="Arial" w:cs="Arial" w:eastAsia="Arial" w:hAnsi="Arial"/>
                <w:sz w:val="18"/>
                <w:szCs w:val="18"/>
                <w:color w:val="auto"/>
              </w:rPr>
              <w:t>and $0 from a related party)</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116,434</w:t>
            </w:r>
          </w:p>
        </w:tc>
        <w:tc>
          <w:tcPr>
            <w:tcW w:w="180" w:type="dxa"/>
            <w:vAlign w:val="bottom"/>
          </w:tcPr>
          <w:p>
            <w:pPr>
              <w:spacing w:after="0"/>
              <w:rPr>
                <w:sz w:val="20"/>
                <w:szCs w:val="20"/>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116,434</w:t>
            </w:r>
          </w:p>
        </w:tc>
        <w:tc>
          <w:tcPr>
            <w:tcW w:w="30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Development and other revenue (includes $14,127, $4,736,</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$20,383 and $14,239 from a related party)</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26,097</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60,325</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59,065</w:t>
            </w:r>
          </w:p>
        </w:tc>
        <w:tc>
          <w:tcPr>
            <w:tcW w:w="100" w:type="dxa"/>
            <w:vAlign w:val="bottom"/>
            <w:shd w:val="clear" w:color="auto" w:fill="CFF0FC"/>
          </w:tcPr>
          <w:p>
            <w:pPr>
              <w:spacing w:after="0"/>
              <w:rPr>
                <w:sz w:val="20"/>
                <w:szCs w:val="20"/>
                <w:color w:val="auto"/>
              </w:rPr>
            </w:pPr>
          </w:p>
        </w:tc>
      </w:tr>
      <w:tr>
        <w:trPr>
          <w:trHeight w:val="215"/>
        </w:trPr>
        <w:tc>
          <w:tcPr>
            <w:tcW w:w="4980" w:type="dxa"/>
            <w:vAlign w:val="bottom"/>
          </w:tcPr>
          <w:p>
            <w:pPr>
              <w:ind w:left="260"/>
              <w:spacing w:after="0"/>
              <w:rPr>
                <w:sz w:val="20"/>
                <w:szCs w:val="20"/>
                <w:color w:val="auto"/>
              </w:rPr>
            </w:pPr>
            <w:r>
              <w:rPr>
                <w:rFonts w:ascii="Arial" w:cs="Arial" w:eastAsia="Arial" w:hAnsi="Arial"/>
                <w:sz w:val="18"/>
                <w:szCs w:val="18"/>
                <w:color w:val="auto"/>
              </w:rPr>
              <w:t>Product revenue, net (includes $10,328, $0, $32,495 and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80" w:type="dxa"/>
            <w:vAlign w:val="bottom"/>
          </w:tcPr>
          <w:p>
            <w:pPr>
              <w:ind w:left="380"/>
              <w:spacing w:after="0"/>
              <w:rPr>
                <w:sz w:val="20"/>
                <w:szCs w:val="20"/>
                <w:color w:val="auto"/>
              </w:rPr>
            </w:pPr>
            <w:r>
              <w:rPr>
                <w:rFonts w:ascii="Arial" w:cs="Arial" w:eastAsia="Arial" w:hAnsi="Arial"/>
                <w:sz w:val="18"/>
                <w:szCs w:val="18"/>
                <w:color w:val="auto"/>
              </w:rPr>
              <w:t>$0 from a related party)</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22,683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42,175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43,331</w:t>
            </w:r>
          </w:p>
        </w:tc>
        <w:tc>
          <w:tcPr>
            <w:tcW w:w="100" w:type="dxa"/>
            <w:vAlign w:val="bottom"/>
          </w:tcPr>
          <w:p>
            <w:pPr>
              <w:spacing w:after="0"/>
              <w:rPr>
                <w:sz w:val="20"/>
                <w:szCs w:val="20"/>
                <w:color w:val="auto"/>
              </w:rPr>
            </w:pPr>
          </w:p>
        </w:tc>
      </w:tr>
      <w:tr>
        <w:trPr>
          <w:trHeight w:val="215"/>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Drug product revenue (includes $0, $(3,957), $2,056</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$4,281 from a related party)</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8,924</w:t>
            </w:r>
          </w:p>
        </w:tc>
        <w:tc>
          <w:tcPr>
            <w:tcW w:w="100" w:type="dxa"/>
            <w:vAlign w:val="bottom"/>
            <w:shd w:val="clear" w:color="auto" w:fill="CFF0FC"/>
          </w:tcPr>
          <w:p>
            <w:pPr>
              <w:spacing w:after="0"/>
              <w:rPr>
                <w:sz w:val="20"/>
                <w:szCs w:val="20"/>
                <w:color w:val="auto"/>
              </w:rPr>
            </w:pPr>
          </w:p>
        </w:tc>
      </w:tr>
      <w:tr>
        <w:trPr>
          <w:trHeight w:val="223"/>
        </w:trPr>
        <w:tc>
          <w:tcPr>
            <w:tcW w:w="49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155,973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44,032</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218,766</w:t>
            </w: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111,320</w:t>
            </w: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goods sold</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75,880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58,476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273,123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174,792</w:t>
            </w: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(48,981)</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89,186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64,157</w:t>
            </w:r>
          </w:p>
        </w:tc>
        <w:tc>
          <w:tcPr>
            <w:tcW w:w="100" w:type="dxa"/>
            <w:vAlign w:val="bottom"/>
            <w:shd w:val="clear" w:color="auto" w:fill="CFF0FC"/>
          </w:tcPr>
          <w:p>
            <w:pPr>
              <w:spacing w:after="0"/>
              <w:rPr>
                <w:sz w:val="19"/>
                <w:szCs w:val="19"/>
                <w:color w:val="auto"/>
              </w:rPr>
            </w:pPr>
          </w:p>
        </w:tc>
      </w:tr>
      <w:tr>
        <w:trPr>
          <w:trHeight w:val="223"/>
        </w:trPr>
        <w:tc>
          <w:tcPr>
            <w:tcW w:w="4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costs and expenses</w:t>
            </w:r>
          </w:p>
        </w:tc>
        <w:tc>
          <w:tcPr>
            <w:tcW w:w="4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104,999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11,702</w:t>
            </w: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372,055</w:t>
            </w:r>
          </w:p>
        </w:tc>
        <w:tc>
          <w:tcPr>
            <w:tcW w:w="3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245,202</w:t>
            </w: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operations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(153,289)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(133,882)</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and other, net</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(580)</w:t>
            </w: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(965)</w:t>
            </w:r>
          </w:p>
        </w:tc>
        <w:tc>
          <w:tcPr>
            <w:tcW w:w="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(1,864)</w:t>
            </w: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income (expenses), net</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(2,120)</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w:t>
            </w:r>
          </w:p>
        </w:tc>
        <w:tc>
          <w:tcPr>
            <w:tcW w:w="100" w:type="dxa"/>
            <w:vAlign w:val="bottom"/>
            <w:shd w:val="clear" w:color="auto" w:fill="CFF0FC"/>
          </w:tcPr>
          <w:p>
            <w:pPr>
              <w:spacing w:after="0"/>
              <w:rPr>
                <w:sz w:val="19"/>
                <w:szCs w:val="19"/>
                <w:color w:val="auto"/>
              </w:rPr>
            </w:pPr>
          </w:p>
        </w:tc>
      </w:tr>
      <w:tr>
        <w:trPr>
          <w:trHeight w:val="223"/>
        </w:trPr>
        <w:tc>
          <w:tcPr>
            <w:tcW w:w="4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interest and other, net</w:t>
            </w:r>
          </w:p>
        </w:tc>
        <w:tc>
          <w:tcPr>
            <w:tcW w:w="4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3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49,562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(156,374)</w:t>
            </w:r>
          </w:p>
        </w:tc>
        <w:tc>
          <w:tcPr>
            <w:tcW w:w="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(130,454)</w:t>
            </w: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income taxes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spacing w:after="0"/>
              <w:rPr>
                <w:sz w:val="19"/>
                <w:szCs w:val="19"/>
                <w:color w:val="auto"/>
              </w:rPr>
            </w:pPr>
          </w:p>
        </w:tc>
      </w:tr>
      <w:tr>
        <w:trPr>
          <w:trHeight w:val="215"/>
        </w:trPr>
        <w:tc>
          <w:tcPr>
            <w:tcW w:w="4980" w:type="dxa"/>
            <w:vAlign w:val="bottom"/>
          </w:tcPr>
          <w:p>
            <w:pPr>
              <w:ind w:left="260"/>
              <w:spacing w:after="0"/>
              <w:rPr>
                <w:sz w:val="20"/>
                <w:szCs w:val="20"/>
                <w:color w:val="auto"/>
              </w:rPr>
            </w:pPr>
            <w:r>
              <w:rPr>
                <w:rFonts w:ascii="Arial" w:cs="Arial" w:eastAsia="Arial" w:hAnsi="Arial"/>
                <w:sz w:val="18"/>
                <w:szCs w:val="18"/>
                <w:color w:val="auto"/>
              </w:rPr>
              <w:t>Investment income (loss) in unconsolidated variable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80" w:type="dxa"/>
            <w:vAlign w:val="bottom"/>
          </w:tcPr>
          <w:p>
            <w:pPr>
              <w:ind w:left="380"/>
              <w:spacing w:after="0"/>
              <w:rPr>
                <w:sz w:val="20"/>
                <w:szCs w:val="20"/>
                <w:color w:val="auto"/>
              </w:rPr>
            </w:pPr>
            <w:r>
              <w:rPr>
                <w:rFonts w:ascii="Arial" w:cs="Arial" w:eastAsia="Arial" w:hAnsi="Arial"/>
                <w:sz w:val="18"/>
                <w:szCs w:val="18"/>
                <w:color w:val="auto"/>
              </w:rPr>
              <w:t>interest entity</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(155,945)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0.54</w:t>
            </w:r>
          </w:p>
        </w:tc>
        <w:tc>
          <w:tcPr>
            <w:tcW w:w="180" w:type="dxa"/>
            <w:vAlign w:val="bottom"/>
          </w:tcPr>
          <w:p>
            <w:pPr>
              <w:spacing w:after="0"/>
              <w:rPr>
                <w:sz w:val="19"/>
                <w:szCs w:val="19"/>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0.36</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w:t>
            </w:r>
          </w:p>
        </w:tc>
      </w:tr>
      <w:tr>
        <w:trPr>
          <w:trHeight w:val="230"/>
        </w:trPr>
        <w:tc>
          <w:tcPr>
            <w:tcW w:w="4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used to</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calculate net income (loss) per share:</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92,644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90,558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92,206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89,414</w:t>
            </w: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93,678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92,206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89,414</w:t>
            </w:r>
          </w:p>
        </w:tc>
        <w:tc>
          <w:tcPr>
            <w:tcW w:w="100" w:type="dxa"/>
            <w:vAlign w:val="bottom"/>
            <w:shd w:val="clear" w:color="auto" w:fill="CFF0FC"/>
          </w:tcPr>
          <w:p>
            <w:pPr>
              <w:spacing w:after="0"/>
              <w:rPr>
                <w:sz w:val="19"/>
                <w:szCs w:val="19"/>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56"/>
        </w:trPr>
        <w:tc>
          <w:tcPr>
            <w:tcW w:w="56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49,798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(155,945)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(130,657)</w:t>
            </w:r>
          </w:p>
        </w:tc>
        <w:tc>
          <w:tcPr>
            <w:tcW w:w="10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(3,372)</w:t>
            </w: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(loss) on investments, net of tax effect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w:t>
            </w:r>
          </w:p>
        </w:tc>
      </w:tr>
      <w:tr>
        <w:trPr>
          <w:trHeight w:val="22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50,207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30,309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(155,604)</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For The Three Month Period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right"/>
              <w:ind w:right="440"/>
              <w:spacing w:after="0" w:line="135"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70"/>
              <w:spacing w:after="0" w:line="135" w:lineRule="exact"/>
              <w:rPr>
                <w:sz w:val="20"/>
                <w:szCs w:val="20"/>
                <w:color w:val="auto"/>
              </w:rPr>
            </w:pPr>
            <w:r>
              <w:rPr>
                <w:rFonts w:ascii="Arial" w:cs="Arial" w:eastAsia="Arial" w:hAnsi="Arial"/>
                <w:sz w:val="12"/>
                <w:szCs w:val="12"/>
                <w:b w:val="1"/>
                <w:bCs w:val="1"/>
                <w:color w:val="auto"/>
                <w:w w:val="94"/>
              </w:rPr>
              <w:t>Non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2140" w:type="dxa"/>
            <w:vAlign w:val="bottom"/>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2140" w:type="dxa"/>
            <w:vAlign w:val="bottom"/>
          </w:tcPr>
          <w:p>
            <w:pPr>
              <w:spacing w:after="0"/>
              <w:rPr>
                <w:sz w:val="13"/>
                <w:szCs w:val="13"/>
                <w:color w:val="auto"/>
              </w:rPr>
            </w:pPr>
          </w:p>
        </w:tc>
        <w:tc>
          <w:tcPr>
            <w:tcW w:w="126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Income (Loss)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2021</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92,608,929</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1,443,975</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(4,567)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(1,179,754)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279,851</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income</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49,798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49,798</w:t>
            </w:r>
          </w:p>
        </w:tc>
        <w:tc>
          <w:tcPr>
            <w:tcW w:w="120" w:type="dxa"/>
            <w:vAlign w:val="bottom"/>
          </w:tcPr>
          <w:p>
            <w:pPr>
              <w:spacing w:after="0"/>
              <w:rPr>
                <w:sz w:val="14"/>
                <w:szCs w:val="14"/>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4"/>
                <w:szCs w:val="14"/>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4"/>
                <w:szCs w:val="14"/>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99,023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(699)</w:t>
            </w: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15,704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15,704</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September 30,</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2021</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92,707,952</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1,458,979</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(4,158)</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(1,129,956)</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345,063</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39"/>
        </w:trPr>
        <w:tc>
          <w:tcPr>
            <w:tcW w:w="214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June 30,</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90,228,293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1,344,912</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(1,561)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(948,381)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415,143</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income</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33,004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33,004</w:t>
            </w:r>
          </w:p>
        </w:tc>
        <w:tc>
          <w:tcPr>
            <w:tcW w:w="120" w:type="dxa"/>
            <w:vAlign w:val="bottom"/>
          </w:tcPr>
          <w:p>
            <w:pPr>
              <w:spacing w:after="0"/>
              <w:rPr>
                <w:sz w:val="14"/>
                <w:szCs w:val="14"/>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(657)</w:t>
            </w: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(2,038)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(2,038)</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656,463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7,588</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17,891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17,891</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September 30,</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90,884,756</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909</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1,370,384</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(4,256)</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(915,377)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470,931</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For The Nine Month Period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210"/>
              <w:spacing w:after="0" w:line="135" w:lineRule="exact"/>
              <w:rPr>
                <w:sz w:val="20"/>
                <w:szCs w:val="20"/>
                <w:color w:val="auto"/>
              </w:rPr>
            </w:pPr>
            <w:r>
              <w:rPr>
                <w:rFonts w:ascii="Arial" w:cs="Arial" w:eastAsia="Arial" w:hAnsi="Arial"/>
                <w:sz w:val="12"/>
                <w:szCs w:val="12"/>
                <w:b w:val="1"/>
                <w:bCs w:val="1"/>
                <w:color w:val="auto"/>
              </w:rPr>
              <w:t>Additional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70"/>
              <w:spacing w:after="0" w:line="135" w:lineRule="exact"/>
              <w:rPr>
                <w:sz w:val="20"/>
                <w:szCs w:val="20"/>
                <w:color w:val="auto"/>
              </w:rPr>
            </w:pPr>
            <w:r>
              <w:rPr>
                <w:rFonts w:ascii="Arial" w:cs="Arial" w:eastAsia="Arial" w:hAnsi="Arial"/>
                <w:sz w:val="12"/>
                <w:szCs w:val="12"/>
                <w:b w:val="1"/>
                <w:bCs w:val="1"/>
                <w:color w:val="auto"/>
                <w:w w:val="94"/>
              </w:rPr>
              <w:t>Non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2140" w:type="dxa"/>
            <w:vAlign w:val="bottom"/>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310"/>
              <w:spacing w:after="0"/>
              <w:rPr>
                <w:sz w:val="20"/>
                <w:szCs w:val="20"/>
                <w:color w:val="auto"/>
              </w:rPr>
            </w:pPr>
            <w:r>
              <w:rPr>
                <w:rFonts w:ascii="Arial" w:cs="Arial" w:eastAsia="Arial" w:hAnsi="Arial"/>
                <w:sz w:val="12"/>
                <w:szCs w:val="12"/>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2140" w:type="dxa"/>
            <w:vAlign w:val="bottom"/>
          </w:tcPr>
          <w:p>
            <w:pPr>
              <w:spacing w:after="0"/>
              <w:rPr>
                <w:sz w:val="13"/>
                <w:szCs w:val="13"/>
                <w:color w:val="auto"/>
              </w:rPr>
            </w:pPr>
          </w:p>
        </w:tc>
        <w:tc>
          <w:tcPr>
            <w:tcW w:w="126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3"/>
                <w:szCs w:val="13"/>
                <w:color w:val="auto"/>
              </w:rPr>
            </w:pPr>
          </w:p>
        </w:tc>
        <w:tc>
          <w:tcPr>
            <w:tcW w:w="920" w:type="dxa"/>
            <w:vAlign w:val="bottom"/>
          </w:tcPr>
          <w:p>
            <w:pPr>
              <w:jc w:val="right"/>
              <w:ind w:right="290"/>
              <w:spacing w:after="0"/>
              <w:rPr>
                <w:sz w:val="20"/>
                <w:szCs w:val="20"/>
                <w:color w:val="auto"/>
              </w:rPr>
            </w:pPr>
            <w:r>
              <w:rPr>
                <w:rFonts w:ascii="Arial" w:cs="Arial" w:eastAsia="Arial" w:hAnsi="Arial"/>
                <w:sz w:val="12"/>
                <w:szCs w:val="12"/>
                <w:b w:val="1"/>
                <w:bCs w:val="1"/>
                <w:color w:val="auto"/>
              </w:rPr>
              <w:t>Capital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91,440,633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914</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1,399,774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(4,499)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(974,011)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441,449</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(155,945)</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(155,945)</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w:t>
            </w: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4"/>
                <w:szCs w:val="14"/>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1,267,319</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5,116</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5,129</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54,089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54,089</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September 30,</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2021</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92,707,952</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1,458,979</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(4,158)</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(1,129,956)</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345,063</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39"/>
        </w:trPr>
        <w:tc>
          <w:tcPr>
            <w:tcW w:w="214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87,657,489</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1,300,725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(747)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(784,720)</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535,406</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(130,657)</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(130,657)</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(137)</w:t>
            </w: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(3,372)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(3,372)</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3,227,267</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17,208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17,240</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52,451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52,451</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September 30,</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90,884,756</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909</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1,370,384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(4,256)</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(915,377)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470,931</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20" w:type="dxa"/>
            <w:vAlign w:val="bottom"/>
          </w:tcPr>
          <w:p>
            <w:pPr>
              <w:spacing w:after="0"/>
              <w:rPr>
                <w:sz w:val="13"/>
                <w:szCs w:val="13"/>
                <w:color w:val="auto"/>
              </w:rPr>
            </w:pPr>
          </w:p>
        </w:tc>
        <w:tc>
          <w:tcPr>
            <w:tcW w:w="316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3"/>
                <w:szCs w:val="13"/>
                <w:b w:val="1"/>
                <w:bCs w:val="1"/>
                <w:color w:val="auto"/>
              </w:rPr>
              <w:t>Nine Months Ended September 30,</w:t>
            </w: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320" w:type="dxa"/>
            <w:vAlign w:val="bottom"/>
          </w:tcPr>
          <w:p>
            <w:pPr>
              <w:spacing w:after="0"/>
              <w:rPr>
                <w:sz w:val="12"/>
                <w:szCs w:val="12"/>
                <w:color w:val="auto"/>
              </w:rPr>
            </w:pPr>
          </w:p>
        </w:tc>
        <w:tc>
          <w:tcPr>
            <w:tcW w:w="1100" w:type="dxa"/>
            <w:vAlign w:val="bottom"/>
          </w:tcPr>
          <w:p>
            <w:pPr>
              <w:jc w:val="right"/>
              <w:ind w:right="33"/>
              <w:spacing w:after="0" w:line="142" w:lineRule="exact"/>
              <w:rPr>
                <w:sz w:val="20"/>
                <w:szCs w:val="20"/>
                <w:color w:val="auto"/>
              </w:rPr>
            </w:pPr>
            <w:r>
              <w:rPr>
                <w:rFonts w:ascii="Arial" w:cs="Arial" w:eastAsia="Arial" w:hAnsi="Arial"/>
                <w:sz w:val="13"/>
                <w:szCs w:val="13"/>
                <w:b w:val="1"/>
                <w:bCs w:val="1"/>
                <w:color w:val="auto"/>
              </w:rPr>
              <w:t>2021</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69"/>
              <w:spacing w:after="0" w:line="142" w:lineRule="exact"/>
              <w:rPr>
                <w:sz w:val="20"/>
                <w:szCs w:val="20"/>
                <w:color w:val="auto"/>
              </w:rPr>
            </w:pPr>
            <w:r>
              <w:rPr>
                <w:rFonts w:ascii="Arial" w:cs="Arial" w:eastAsia="Arial" w:hAnsi="Arial"/>
                <w:sz w:val="13"/>
                <w:szCs w:val="13"/>
                <w:b w:val="1"/>
                <w:bCs w:val="1"/>
                <w:color w:val="auto"/>
              </w:rPr>
              <w:t>2020</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73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1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Net loss</w:t>
            </w:r>
          </w:p>
        </w:tc>
        <w:tc>
          <w:tcPr>
            <w:tcW w:w="1100" w:type="dxa"/>
            <w:vAlign w:val="bottom"/>
          </w:tcPr>
          <w:p>
            <w:pPr>
              <w:jc w:val="right"/>
              <w:ind w:right="953"/>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(155,945)</w:t>
            </w:r>
          </w:p>
        </w:tc>
        <w:tc>
          <w:tcPr>
            <w:tcW w:w="1120" w:type="dxa"/>
            <w:vAlign w:val="bottom"/>
            <w:gridSpan w:val="2"/>
          </w:tcPr>
          <w:p>
            <w:pPr>
              <w:jc w:val="right"/>
              <w:ind w:right="989"/>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(130,657)</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7,717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8,671</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finance lease right-of-use assets</w:t>
            </w: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4,509</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7,886</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Net accretion of premium and discount on investments</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loss on equity investments</w:t>
            </w: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Investment (gain) loss in unconsolidated variable interest entity</w:t>
            </w:r>
          </w:p>
        </w:tc>
        <w:tc>
          <w:tcPr>
            <w:tcW w:w="1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(664)</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Loss (gain) on disposal of property and equipment</w:t>
            </w: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54,089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52,451</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Expense for acquired in-process research and development asset</w:t>
            </w: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Realized loss on sales of available-for-sale securities</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Changes in operating assets and liabilities:</w:t>
            </w: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Accounts receivable, net</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6,131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2,520</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Inventories</w:t>
            </w:r>
          </w:p>
        </w:tc>
        <w:tc>
          <w:tcPr>
            <w:tcW w:w="1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(12,658)</w:t>
            </w: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(5,206)</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(11,160)</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121,923</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right-of-use assets</w:t>
            </w: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1,232</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Other assets</w:t>
            </w:r>
          </w:p>
        </w:tc>
        <w:tc>
          <w:tcPr>
            <w:tcW w:w="1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(3,563)</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6,857</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1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(1,115)</w:t>
            </w: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1,440</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Accrued and other liabilities</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31,997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3,478</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liabilities, current</w:t>
            </w: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(229)</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Deferred revenue</w:t>
            </w: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40,650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45,925</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interest for finance lease liabilities</w:t>
            </w:r>
          </w:p>
        </w:tc>
        <w:tc>
          <w:tcPr>
            <w:tcW w:w="1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(76)</w:t>
            </w: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(196)</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Operating lease liabilities, non-current</w:t>
            </w:r>
          </w:p>
        </w:tc>
        <w:tc>
          <w:tcPr>
            <w:tcW w:w="1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(1,326)</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(479)</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long-term liabilities</w:t>
            </w:r>
          </w:p>
        </w:tc>
        <w:tc>
          <w:tcPr>
            <w:tcW w:w="1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(14,199)</w:t>
            </w: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(26,600)</w:t>
            </w:r>
          </w:p>
        </w:tc>
      </w:tr>
      <w:tr>
        <w:trPr>
          <w:trHeight w:val="155"/>
        </w:trPr>
        <w:tc>
          <w:tcPr>
            <w:tcW w:w="7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(27,272)</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88,830</w:t>
            </w:r>
          </w:p>
        </w:tc>
        <w:tc>
          <w:tcPr>
            <w:tcW w:w="120" w:type="dxa"/>
            <w:vAlign w:val="bottom"/>
            <w:tcBorders>
              <w:bottom w:val="single" w:sz="8" w:color="CFF0FC"/>
            </w:tcBorders>
          </w:tcPr>
          <w:p>
            <w:pPr>
              <w:spacing w:after="0"/>
              <w:rPr>
                <w:sz w:val="13"/>
                <w:szCs w:val="13"/>
                <w:color w:val="auto"/>
              </w:rPr>
            </w:pPr>
          </w:p>
        </w:tc>
      </w:tr>
      <w:tr>
        <w:trPr>
          <w:trHeight w:val="156"/>
        </w:trPr>
        <w:tc>
          <w:tcPr>
            <w:tcW w:w="7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1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(3,790)</w:t>
            </w: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(1,604)</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Payment made for acquired in-process research and development asset</w:t>
            </w:r>
          </w:p>
        </w:tc>
        <w:tc>
          <w:tcPr>
            <w:tcW w:w="1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(25,000)</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Payment made for investment in unconsolidated variable interest entity</w:t>
            </w:r>
          </w:p>
        </w:tc>
        <w:tc>
          <w:tcPr>
            <w:tcW w:w="1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(2,145)</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Purchases of available-for-sale securities</w:t>
            </w:r>
          </w:p>
        </w:tc>
        <w:tc>
          <w:tcPr>
            <w:tcW w:w="1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(397,909)</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(38)</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sales of available-for-sale securities</w:t>
            </w: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10,606</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maturities of investments</w:t>
            </w: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46,294</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301,900</w:t>
            </w:r>
          </w:p>
        </w:tc>
        <w:tc>
          <w:tcPr>
            <w:tcW w:w="120" w:type="dxa"/>
            <w:vAlign w:val="bottom"/>
            <w:tcBorders>
              <w:bottom w:val="single" w:sz="8" w:color="CFF0FC"/>
            </w:tcBorders>
          </w:tcPr>
          <w:p>
            <w:pPr>
              <w:spacing w:after="0"/>
              <w:rPr>
                <w:sz w:val="14"/>
                <w:szCs w:val="14"/>
                <w:color w:val="auto"/>
              </w:rPr>
            </w:pPr>
          </w:p>
        </w:tc>
      </w:tr>
      <w:tr>
        <w:trPr>
          <w:trHeight w:val="155"/>
        </w:trPr>
        <w:tc>
          <w:tcPr>
            <w:tcW w:w="73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(376,405)</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308,719</w:t>
            </w:r>
          </w:p>
        </w:tc>
        <w:tc>
          <w:tcPr>
            <w:tcW w:w="120" w:type="dxa"/>
            <w:vAlign w:val="bottom"/>
            <w:shd w:val="clear" w:color="auto" w:fill="CFF0FC"/>
          </w:tcPr>
          <w:p>
            <w:pPr>
              <w:spacing w:after="0"/>
              <w:rPr>
                <w:sz w:val="13"/>
                <w:szCs w:val="13"/>
                <w:color w:val="auto"/>
              </w:rPr>
            </w:pPr>
          </w:p>
        </w:tc>
      </w:tr>
      <w:tr>
        <w:trPr>
          <w:trHeight w:val="155"/>
        </w:trPr>
        <w:tc>
          <w:tcPr>
            <w:tcW w:w="7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Financing activities</w:t>
            </w: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Repayments of finance lease liabilities</w:t>
            </w:r>
          </w:p>
        </w:tc>
        <w:tc>
          <w:tcPr>
            <w:tcW w:w="1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(5,359)</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(9,254)</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Repayments of lease obligations</w:t>
            </w:r>
          </w:p>
        </w:tc>
        <w:tc>
          <w:tcPr>
            <w:tcW w:w="1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(302)</w:t>
            </w: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(302)</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Cash paid for payroll taxes on restricted stock unit releases</w:t>
            </w:r>
          </w:p>
        </w:tc>
        <w:tc>
          <w:tcPr>
            <w:tcW w:w="1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(6,734)</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(9,007)</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common stock</w:t>
            </w:r>
          </w:p>
        </w:tc>
        <w:tc>
          <w:tcPr>
            <w:tcW w:w="1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11,863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26,247</w:t>
            </w:r>
          </w:p>
        </w:tc>
        <w:tc>
          <w:tcPr>
            <w:tcW w:w="120" w:type="dxa"/>
            <w:vAlign w:val="bottom"/>
            <w:shd w:val="clear" w:color="auto" w:fill="CFF0FC"/>
          </w:tcPr>
          <w:p>
            <w:pPr>
              <w:spacing w:after="0"/>
              <w:rPr>
                <w:sz w:val="14"/>
                <w:szCs w:val="14"/>
                <w:color w:val="auto"/>
              </w:rPr>
            </w:pPr>
          </w:p>
        </w:tc>
      </w:tr>
      <w:tr>
        <w:trPr>
          <w:trHeight w:val="155"/>
        </w:trPr>
        <w:tc>
          <w:tcPr>
            <w:tcW w:w="7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(532)</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7,684</w:t>
            </w:r>
          </w:p>
        </w:tc>
        <w:tc>
          <w:tcPr>
            <w:tcW w:w="120" w:type="dxa"/>
            <w:vAlign w:val="bottom"/>
            <w:tcBorders>
              <w:bottom w:val="single" w:sz="8" w:color="CFF0FC"/>
            </w:tcBorders>
          </w:tcPr>
          <w:p>
            <w:pPr>
              <w:spacing w:after="0"/>
              <w:rPr>
                <w:sz w:val="13"/>
                <w:szCs w:val="13"/>
                <w:color w:val="auto"/>
              </w:rPr>
            </w:pPr>
          </w:p>
        </w:tc>
      </w:tr>
      <w:tr>
        <w:trPr>
          <w:trHeight w:val="156"/>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 on cash and cash equivalents</w:t>
            </w:r>
          </w:p>
        </w:tc>
        <w:tc>
          <w:tcPr>
            <w:tcW w:w="1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343</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969</w:t>
            </w:r>
          </w:p>
        </w:tc>
        <w:tc>
          <w:tcPr>
            <w:tcW w:w="120" w:type="dxa"/>
            <w:vAlign w:val="bottom"/>
            <w:shd w:val="clear" w:color="auto" w:fill="CFF0FC"/>
          </w:tcPr>
          <w:p>
            <w:pPr>
              <w:spacing w:after="0"/>
              <w:rPr>
                <w:sz w:val="13"/>
                <w:szCs w:val="13"/>
                <w:color w:val="auto"/>
              </w:rPr>
            </w:pPr>
          </w:p>
        </w:tc>
      </w:tr>
      <w:tr>
        <w:trPr>
          <w:trHeight w:val="155"/>
        </w:trPr>
        <w:tc>
          <w:tcPr>
            <w:tcW w:w="7320" w:type="dxa"/>
            <w:vAlign w:val="bottom"/>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11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(403,866)</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406,202</w:t>
            </w:r>
          </w:p>
        </w:tc>
        <w:tc>
          <w:tcPr>
            <w:tcW w:w="120" w:type="dxa"/>
            <w:vAlign w:val="bottom"/>
          </w:tcPr>
          <w:p>
            <w:pPr>
              <w:spacing w:after="0"/>
              <w:rPr>
                <w:sz w:val="13"/>
                <w:szCs w:val="13"/>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Total cash and cash equivalents at beginning of period</w:t>
            </w:r>
          </w:p>
        </w:tc>
        <w:tc>
          <w:tcPr>
            <w:tcW w:w="1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678,393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126,266</w:t>
            </w:r>
          </w:p>
        </w:tc>
        <w:tc>
          <w:tcPr>
            <w:tcW w:w="120" w:type="dxa"/>
            <w:vAlign w:val="bottom"/>
            <w:shd w:val="clear" w:color="auto" w:fill="CFF0FC"/>
          </w:tcPr>
          <w:p>
            <w:pPr>
              <w:spacing w:after="0"/>
              <w:rPr>
                <w:sz w:val="14"/>
                <w:szCs w:val="14"/>
                <w:color w:val="auto"/>
              </w:rPr>
            </w:pPr>
          </w:p>
        </w:tc>
      </w:tr>
      <w:tr>
        <w:trPr>
          <w:trHeight w:val="156"/>
        </w:trPr>
        <w:tc>
          <w:tcPr>
            <w:tcW w:w="7320" w:type="dxa"/>
            <w:vAlign w:val="bottom"/>
          </w:tcPr>
          <w:p>
            <w:pPr>
              <w:spacing w:after="0" w:line="155" w:lineRule="exact"/>
              <w:rPr>
                <w:sz w:val="20"/>
                <w:szCs w:val="20"/>
                <w:color w:val="auto"/>
              </w:rPr>
            </w:pPr>
            <w:r>
              <w:rPr>
                <w:rFonts w:ascii="Arial" w:cs="Arial" w:eastAsia="Arial" w:hAnsi="Arial"/>
                <w:sz w:val="14"/>
                <w:szCs w:val="14"/>
                <w:color w:val="auto"/>
              </w:rPr>
              <w:t>Total cash and cash equivalents at end of period</w:t>
            </w:r>
          </w:p>
        </w:tc>
        <w:tc>
          <w:tcPr>
            <w:tcW w:w="1100" w:type="dxa"/>
            <w:vAlign w:val="bottom"/>
            <w:tcBorders>
              <w:bottom w:val="single" w:sz="8" w:color="auto"/>
            </w:tcBorders>
          </w:tcPr>
          <w:p>
            <w:pPr>
              <w:jc w:val="right"/>
              <w:ind w:right="953"/>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274,527</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98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532,468</w:t>
            </w:r>
          </w:p>
        </w:tc>
        <w:tc>
          <w:tcPr>
            <w:tcW w:w="120" w:type="dxa"/>
            <w:vAlign w:val="bottom"/>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340" w:firstLine="8"/>
        <w:spacing w:after="0" w:line="400" w:lineRule="auto"/>
        <w:tabs>
          <w:tab w:leader="none" w:pos="499"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ind w:right="20"/>
        <w:spacing w:after="0" w:line="263" w:lineRule="auto"/>
        <w:rPr>
          <w:sz w:val="20"/>
          <w:szCs w:val="20"/>
          <w:color w:val="auto"/>
        </w:rPr>
      </w:pPr>
      <w:r>
        <w:rPr>
          <w:rFonts w:ascii="Arial" w:cs="Arial" w:eastAsia="Arial" w:hAnsi="Arial"/>
          <w:sz w:val="18"/>
          <w:szCs w:val="18"/>
          <w:color w:val="auto"/>
        </w:rPr>
        <w:t>FibroGen, Inc. (“FibroGen” or the “Company”) is headquartered in San Francisco, California, with subsidiary offices in Beijing and Shanghai, People’s Republic of China (“China”). FibroGen is a leading biopharmaceutical company developing and commercializing a pipeline of first-in-class therapeutics to advance innovative medicines for the treatment of anemia, fibrotic disease, and cancer.</w:t>
      </w:r>
    </w:p>
    <w:p>
      <w:pPr>
        <w:spacing w:after="0" w:line="184" w:lineRule="exact"/>
        <w:rPr>
          <w:sz w:val="20"/>
          <w:szCs w:val="20"/>
          <w:color w:val="auto"/>
        </w:rPr>
      </w:pPr>
    </w:p>
    <w:p>
      <w:pPr>
        <w:ind w:right="20"/>
        <w:spacing w:after="0" w:line="262" w:lineRule="exact"/>
        <w:rPr>
          <w:sz w:val="20"/>
          <w:szCs w:val="20"/>
          <w:color w:val="auto"/>
        </w:rPr>
      </w:pPr>
      <w:r>
        <w:rPr>
          <w:rFonts w:ascii="Arial" w:cs="Arial" w:eastAsia="Arial" w:hAnsi="Arial"/>
          <w:sz w:val="18"/>
          <w:szCs w:val="18"/>
          <w:color w:val="auto"/>
        </w:rPr>
        <w:t>Roxadustat, FibroGen’s most advanced product, is an oral small molecule inhibitor of hypoxia-inducible factor prolyl hydroxylase (“HIF-PH”) activity that is approved in the European Union, Great Britain, Japan, South Korea, and Chile for the treatment of anemia caused by chronic kidney disease (“CKD”) in dialysis and non-dialysis patients, under the tradename EVRENZO</w:t>
      </w:r>
      <w:r>
        <w:rPr>
          <w:rFonts w:ascii="Arial" w:cs="Arial" w:eastAsia="Arial" w:hAnsi="Arial"/>
          <w:sz w:val="15"/>
          <w:szCs w:val="15"/>
          <w:color w:val="auto"/>
        </w:rPr>
        <w:t>®</w:t>
      </w:r>
      <w:r>
        <w:rPr>
          <w:rFonts w:ascii="Arial" w:cs="Arial" w:eastAsia="Arial" w:hAnsi="Arial"/>
          <w:sz w:val="18"/>
          <w:szCs w:val="18"/>
          <w:color w:val="auto"/>
        </w:rPr>
        <w:t xml:space="preserve">. Roxadustat is also being commercialized in China for CKD anemia in dialysis and non-dialysis patients under the tradename: </w:t>
      </w:r>
      <w:r>
        <w:rPr>
          <w:rFonts w:ascii="SimSun" w:cs="SimSun" w:eastAsia="SimSun" w:hAnsi="SimSun"/>
          <w:sz w:val="18"/>
          <w:szCs w:val="18"/>
          <w:color w:val="auto"/>
        </w:rPr>
        <w:t>爱瑞卓</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6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Roxadustat is in Phase 3 clinical development for anemia associated with myelodysplastic syndromes and Phase 2 clinical development for chemotherapy-induced anemia.</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Pamrevlumab, a human monoclonal antibody targeting connective tissue growth factor, is in Phase 3 clinical development for the treatment of idiopathic pulmonary fibrosis, locally advanced unresectable pancreatic cancer and Duchenne muscular dystrophy.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condensed consolidated financial statements include the accounts of FibroGen, its wholly owned subsidiaries and its majority-owned subsidiaries, FibroGen Europe Oy and FibroGen China Anemia Holdings, Ltd. All inter-company transactions and balances have been eliminated in consolidation. For any variable interest entity (“VIE”) for which FibroGen is not the primary beneficiary, the Company uses the equity method of accounting. The Company operates as one reportable segment — the discovery, development and commercialization of novel therapeutics to treat serious unmet medical needs.</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unaudited condensed consolidated financial statements and related disclosures have been prepared in accordance with accounting principles generally accepted in the United States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filed with the SEC for the year ended December 31, 2020 (“2020 Form 10-K”).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specifically, estimates in variable consideration for drug product sales, and estimates in transaction price per unit for the China performance obligation (as defined and discussed under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below).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is a reconciliation of the basic and diluted net income (loss) per share calculation for the periods presented (in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336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4"/>
                <w:szCs w:val="14"/>
                <w:color w:val="auto"/>
              </w:rPr>
            </w:pPr>
          </w:p>
        </w:tc>
        <w:tc>
          <w:tcPr>
            <w:tcW w:w="29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66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49,798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(130,657)</w:t>
            </w:r>
          </w:p>
        </w:tc>
        <w:tc>
          <w:tcPr>
            <w:tcW w:w="100" w:type="dxa"/>
            <w:vAlign w:val="bottom"/>
            <w:shd w:val="clear" w:color="auto" w:fill="CFF0FC"/>
          </w:tcPr>
          <w:p>
            <w:pPr>
              <w:spacing w:after="0"/>
              <w:rPr>
                <w:sz w:val="19"/>
                <w:szCs w:val="19"/>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Weighted average shares used to compute net</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income (loss) per share:</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92,644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90,558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89,414</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Dilutive effect of potential common shares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92,808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93,678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92,206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Basic</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0.54</w:t>
            </w:r>
          </w:p>
        </w:tc>
        <w:tc>
          <w:tcPr>
            <w:tcW w:w="6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0.36</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6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(1.69)</w:t>
            </w:r>
          </w:p>
        </w:tc>
        <w:tc>
          <w:tcPr>
            <w:tcW w:w="4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w:t>
            </w:r>
          </w:p>
        </w:tc>
      </w:tr>
    </w:tbl>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Potential common shares that would have the effect of increasing diluted earnings per share are considered to be anti-dilutive and as such, these shares are not included in the calculation of diluted earnings per share. During the nine months ended September 30, 2021 and 2020, the Company reported a net loss. Therefore, dilutive common shares are not assumed to have been issued since their effect is anti-dilutive.</w:t>
      </w:r>
    </w:p>
    <w:p>
      <w:pPr>
        <w:spacing w:after="0" w:line="18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Diluted weighted average shares excluded potential common shares related to stock options, restricted stock units and shares to be purchased under the employee stock purchase plan totaling 12.5 million and 4.2 million for the three months ended September 30, 2021 and 2020, and totaling 9.7 million and 8.9 million for the nine months ended September 30, 2021 and 2020, respectively, as they were anti-dilutive.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The Company’s future results of operations involve a number of risks and uncertainties. Factors that could affect the Company’s future operating results and cause actual results to vary materially from expectations include, but are not limited to, rapid technological change, obtaining second source suppliers, </w:t>
      </w:r>
      <w:r>
        <w:rPr>
          <w:rFonts w:ascii="Arial" w:cs="Arial" w:eastAsia="Arial" w:hAnsi="Arial"/>
          <w:sz w:val="17"/>
          <w:szCs w:val="17"/>
          <w:color w:val="auto"/>
        </w:rPr>
        <w:t>regulatory approval from the U.S. Food and Drug Administration (“FDA”) or other regulatory authorities, the results of clinical trials and the achievement of milestones, market acceptance of the Company’s product candidates, competition from other products and larger companies, protection of proprietary technology, strategic relationships and dependence on key individuals.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December 2019, the Financial Accounting Standards Board (“FASB”) issued Accounting Standards Update (“ASU”) No. 2019-12, </w:t>
      </w:r>
      <w:r>
        <w:rPr>
          <w:rFonts w:ascii="Arial" w:cs="Arial" w:eastAsia="Arial" w:hAnsi="Arial"/>
          <w:sz w:val="17"/>
          <w:szCs w:val="17"/>
          <w:i w:val="1"/>
          <w:iCs w:val="1"/>
          <w:color w:val="auto"/>
        </w:rPr>
        <w:t>Income Taxes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740): Simplifying the Accounting for Income Taxes</w:t>
      </w:r>
      <w:r>
        <w:rPr>
          <w:rFonts w:ascii="Arial" w:cs="Arial" w:eastAsia="Arial" w:hAnsi="Arial"/>
          <w:sz w:val="17"/>
          <w:szCs w:val="17"/>
          <w:color w:val="auto"/>
        </w:rPr>
        <w:t>. This guidance simplifies the accounting for income taxes by clarifying and amending existing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recognition of franchise tax, the evaluation of a step up in the tax basis of goodwill, and the effects of enacted changes in tax laws or rates in the effective tax rate computation, among other clarifications. This guidance was effective for annual reporting periods beginning after December 15, 2020 including interim periods. The Company adopted this guidance on January 1, 2021, and the adoption of this guidance did not have material impact to the Company’s condensed consolidated financial statements and related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w:t>
      </w:r>
      <w:r>
        <w:rPr>
          <w:rFonts w:ascii="Arial" w:cs="Arial" w:eastAsia="Arial" w:hAnsi="Arial"/>
          <w:sz w:val="16"/>
          <w:szCs w:val="16"/>
          <w:i w:val="1"/>
          <w:iCs w:val="1"/>
          <w:color w:val="auto"/>
        </w:rPr>
        <w:t>ASU 2020-04”</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companies with optional financial reporting alternatives to reduce the cost and complexity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for contracts and hedging relationships affected by reference rate reform. This guidance is effective as of March 12, 2020 through December 31, 2022. Subsequently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which clarifies ASU 2020-04 and provides certain optional expedients that allow derivative instruments impacted by changes in the interest rate used for margining, discounting or contract price alignment to qualify for certain optional relief. ASU 2021-01 is effective in the same timeframe as ASU 2020-04. The relief offered by this guidance, if adopted, is available to companies for the period March 12, 2020 through December 31, 2022. The Company has certain lease arrangements that are linked to LIBOR. The Company is in the process of evaluating options for transitioning away from LIBOR and expects to complete this analysis by the time LIBOR is phased out. The Company did not elect to apply any of the expedients or exceptions as of and for the period ended September 30, 2021 and is currently evaluating the impact on its consolidated financial statements and related disclosures upon adoption of this guidance.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2020 Form 10-K, except for the updates to the following: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a license agreement, if the license to the Company’s intellectual property is determined to be distinct from the other performance obligations identified in the arrangement, the Company recognize revenues from upfront license fees allocated to the license when the license is transferred to the licensee and the licensee is able to use and benefit from the license. For licenses that are bundled with other promises, the Company determines whether the combined performance obligation is satisfied over time or at a point in time. If the combined performance obligation is satisfied over time, the Company uses judgment in determining the appropriate method of measuring progress for purposes of recognizing revenue from the up-front license fees. The Company evaluates the measure of progress each reporting period and, if necessary, adjusts the measure of performance and related revenue recognition.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Product revenue, net consists of revenues from sales of roxadustat commercial product to Beijing Falikang Pharmaceutical Co., Ltd. (“Falikang”), and directly to pharmaceutical distributors located in a few provinces in China that are not covered by Falikang. Falikang is jointly owned by AstraZeneca AB (“AstraZeneca”) and FibroGen (China) Medical Technology Development Co., Ltd. (“FibroGen Beijing”). The Company is not the primary beneficiary of Falikang for accounting purposes, as AstraZeneca is the final decision maker for all the roxadustat commercialization activities, and the Company lacks the power criterion to direct the activities of Falikang (see Note 3, </w:t>
      </w:r>
      <w:r>
        <w:rPr>
          <w:rFonts w:ascii="Arial" w:cs="Arial" w:eastAsia="Arial" w:hAnsi="Arial"/>
          <w:sz w:val="17"/>
          <w:szCs w:val="17"/>
          <w:i w:val="1"/>
          <w:iCs w:val="1"/>
          <w:color w:val="auto"/>
        </w:rPr>
        <w:t>Variable Interest Entity</w:t>
      </w:r>
      <w:r>
        <w:rPr>
          <w:rFonts w:ascii="Arial" w:cs="Arial" w:eastAsia="Arial" w:hAnsi="Arial"/>
          <w:sz w:val="17"/>
          <w:szCs w:val="17"/>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Falikang became fully operational in January 2021, at which time FibroGen Beijing began selling roxadustat commercial product to Falikang. Falikang is FibroGen Beijing’s primary customer in China and substantially all roxadustat product sales to distributors in China are made by Falikang. Falikang bears inventory risk once it receives and accepts the product from FibroGen Beijing, and is responsible for delivering product to its distributors.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promises identified under the AstraZeneca China Agreement (as defined in Note 2,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xml:space="preserve">), including the license, co-development services and manufacturing of commercial supplies have been bundled into a single performance obligation (“China performance obligation”). Amounts of the transaction price allocable to this performance obligation under the Company’s agreements with AstraZeneca as outlined in Note 2,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xml:space="preserve"> are deferred until control of the manufactured commercial product is transferred to AstraZeneca.</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initiation of roxadustat sales to Falikang marked the beginning of the China performance obligation</w:t>
      </w:r>
      <w:r>
        <w:rPr>
          <w:rFonts w:ascii="Arial" w:cs="Arial" w:eastAsia="Arial" w:hAnsi="Arial"/>
          <w:sz w:val="16"/>
          <w:szCs w:val="16"/>
          <w:i w:val="1"/>
          <w:iCs w:val="1"/>
          <w:color w:val="auto"/>
        </w:rPr>
        <w:t>.</w:t>
      </w:r>
      <w:r>
        <w:rPr>
          <w:rFonts w:ascii="Arial" w:cs="Arial" w:eastAsia="Arial" w:hAnsi="Arial"/>
          <w:sz w:val="16"/>
          <w:szCs w:val="16"/>
          <w:color w:val="auto"/>
        </w:rPr>
        <w:t xml:space="preserve"> Revenue is recognized at a point in time when control of roxadustat commercial product is transferred to Falikang. Revenue is recognized based on the estimated transaction price per unit and actual quantity of product delivered during the reporting period. Specifically, the transaction price per unit is determined based on the overall transaction price over the total estimated sales quantity for the estimated performance period in which the Company believes those sales would occur. The price per unit is subject to reassessment on a quarterly basis, which may result in cumulative catch up adjustments due to changes in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overall transaction price for FibroGen Beijing’s product sales to Falikang includes the following elements of consideration:</w:t>
      </w:r>
    </w:p>
    <w:p>
      <w:pPr>
        <w:spacing w:after="0" w:line="117" w:lineRule="exact"/>
        <w:rPr>
          <w:sz w:val="20"/>
          <w:szCs w:val="20"/>
          <w:color w:val="auto"/>
        </w:rPr>
      </w:pPr>
    </w:p>
    <w:p>
      <w:pPr>
        <w:ind w:left="380" w:hanging="372"/>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Non-refundable upfront license fees; development, regulatory, and commercial milestone payments based on the China Agreement allocated to the China performance obligation;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Co-development billings resulting from the Company’s research and development efforts, which are reimbursable under the China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Interim profit/loss share between FibroGen Beijing and AstraZeneca from April 1, 2020 through December 31, 2020;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transfer price from product sales to Falikang from January 1, 2021 onwards. The net transfer price includes the following elements:</w:t>
      </w:r>
    </w:p>
    <w:p>
      <w:pPr>
        <w:spacing w:after="0" w:line="117" w:lineRule="exact"/>
        <w:rPr>
          <w:rFonts w:ascii="Arial" w:cs="Arial" w:eastAsia="Arial" w:hAnsi="Arial"/>
          <w:sz w:val="18"/>
          <w:szCs w:val="18"/>
          <w:color w:val="auto"/>
        </w:rPr>
      </w:pPr>
    </w:p>
    <w:p>
      <w:pPr>
        <w:ind w:left="740" w:right="200" w:hanging="365"/>
        <w:spacing w:after="0" w:line="245"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Gross transfer price: The gross transfer price is based on a percentage of Falikang’s net sales to its distributors, which takes into account</w:t>
      </w:r>
      <w:r>
        <w:rPr>
          <w:rFonts w:ascii="Courier New" w:cs="Courier New" w:eastAsia="Courier New" w:hAnsi="Courier New"/>
          <w:sz w:val="18"/>
          <w:szCs w:val="18"/>
          <w:color w:val="auto"/>
        </w:rPr>
        <w:t xml:space="preserve"> </w:t>
      </w:r>
      <w:r>
        <w:rPr>
          <w:rFonts w:ascii="Arial" w:cs="Arial" w:eastAsia="Arial" w:hAnsi="Arial"/>
          <w:sz w:val="18"/>
          <w:szCs w:val="18"/>
          <w:color w:val="auto"/>
        </w:rPr>
        <w:t>Falikang’s operating expenses and its payments to AstraZeneca for roxadustat sales and marketing efforts, capped at a percentage of Falikang’s net roxadustat sales.</w:t>
      </w:r>
    </w:p>
    <w:p>
      <w:pPr>
        <w:spacing w:after="0" w:line="89" w:lineRule="exact"/>
        <w:rPr>
          <w:rFonts w:ascii="Arial" w:cs="Arial" w:eastAsia="Arial" w:hAnsi="Arial"/>
          <w:sz w:val="18"/>
          <w:szCs w:val="18"/>
          <w:color w:val="auto"/>
        </w:rPr>
      </w:pPr>
    </w:p>
    <w:p>
      <w:pPr>
        <w:ind w:left="740" w:right="40" w:hanging="365"/>
        <w:spacing w:after="0" w:line="300" w:lineRule="auto"/>
        <w:rPr>
          <w:rFonts w:ascii="Arial" w:cs="Arial" w:eastAsia="Arial" w:hAnsi="Arial"/>
          <w:sz w:val="18"/>
          <w:szCs w:val="18"/>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Profit share: The gross transfer price is then adjusted for an estimated amount to achieve the 50/50 profit share from current period roxadustat net</w:t>
      </w:r>
      <w:r>
        <w:rPr>
          <w:rFonts w:ascii="Courier New" w:cs="Courier New" w:eastAsia="Courier New" w:hAnsi="Courier New"/>
          <w:sz w:val="16"/>
          <w:szCs w:val="16"/>
          <w:color w:val="auto"/>
        </w:rPr>
        <w:t xml:space="preserve"> </w:t>
      </w:r>
      <w:r>
        <w:rPr>
          <w:rFonts w:ascii="Arial" w:cs="Arial" w:eastAsia="Arial" w:hAnsi="Arial"/>
          <w:sz w:val="16"/>
          <w:szCs w:val="16"/>
          <w:color w:val="auto"/>
        </w:rPr>
        <w:t>sales in China. The adjustments to date have been a reduction to the transfer price and the related accounts receivable from Falikang.</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non-refundable upfront license fees constitute a fixed consideration. The remainder of the above are variable consideration components, which may be constrained, and included in the transaction price only to the extent that it is probable that a significant reversal in the amount of the cumulative revenue recognized will not occur in a future period when the uncertainty associated with the variable consideration is subsequently resolved. The calculation of the above variable consideration includes key estimates such as total sales quantity, performance period, gross transfer price and profit share, which require a substantial degree of judgment.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net transfer price in excess of the revenue recognized is deferred, and will be recognized over future periods as the performance obligations are satisfied.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 to Distributors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sells roxadustat in China directly to a number of pharmaceutical distributors located in a few provinces in China that are not covered by Falikang. These pharmaceutical distributors are the Company’s customers. Hospitals order roxadustat through a distributor and the Company ships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that the Company expects to be entitled to in exchange for the product.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period between the transfer of control of the promised goods and when the Company receives payment is based on 60-day payment terms. As such, product revenue is not adjusted for the effects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recorded at the net sales prices that includes the following estimates of variable consideration:</w:t>
      </w:r>
    </w:p>
    <w:p>
      <w:pPr>
        <w:spacing w:after="0" w:line="117" w:lineRule="exact"/>
        <w:rPr>
          <w:sz w:val="20"/>
          <w:szCs w:val="20"/>
          <w:color w:val="auto"/>
        </w:rPr>
      </w:pPr>
    </w:p>
    <w:p>
      <w:pPr>
        <w:jc w:val="both"/>
        <w:ind w:left="740" w:hanging="368"/>
        <w:spacing w:after="0" w:line="311"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Price adjustment: When China’s National Healthcare Security Administration releases price guidance for roxadustat under the National Reimbursement Drug List, any channel inventories that have not been sold through by distributors, or to patients by hospitals and retailers, would be eligible for a price adjustment under the price protection. The price adjustment is calculated based on estimated channel inventory levels;</w:t>
      </w:r>
    </w:p>
    <w:p>
      <w:pPr>
        <w:spacing w:after="0" w:line="40" w:lineRule="exact"/>
        <w:rPr>
          <w:rFonts w:ascii="Arial" w:cs="Arial" w:eastAsia="Arial" w:hAnsi="Arial"/>
          <w:sz w:val="16"/>
          <w:szCs w:val="16"/>
          <w:color w:val="auto"/>
        </w:rPr>
      </w:pPr>
    </w:p>
    <w:p>
      <w:pPr>
        <w:jc w:val="both"/>
        <w:ind w:left="740" w:hanging="368"/>
        <w:spacing w:after="0" w:line="263"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Contractual sales rebate: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75" w:lineRule="exact"/>
        <w:rPr>
          <w:rFonts w:ascii="Arial" w:cs="Arial" w:eastAsia="Arial" w:hAnsi="Arial"/>
          <w:sz w:val="18"/>
          <w:szCs w:val="18"/>
          <w:color w:val="auto"/>
        </w:rPr>
      </w:pPr>
    </w:p>
    <w:p>
      <w:pPr>
        <w:jc w:val="both"/>
        <w:ind w:left="740" w:hanging="368"/>
        <w:spacing w:after="0" w:line="25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Non-key account hospital listing award: A one-time fixed-amount award is offered to a distributor who successfully lists the product with an eligible hospital, and who meets certain requirements. The Company considers this particular award to be an upfront payment to a customer within the definitions of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non-key account hospital listing award is capitalized when the distributor meets eligibility requirements, and amortized as reduction to product revenue over future sales orders made by the distributor until exhausted;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740" w:hanging="368"/>
        <w:spacing w:after="0" w:line="308"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discounts and rebates, including key account hospital sales rebate and transfer fee discount, are generally based on a percentage of eligible gross sales made by the distributor and recorded as a reduction to revenue at the point of sale to the distributor; and</w:t>
      </w:r>
    </w:p>
    <w:p>
      <w:pPr>
        <w:spacing w:after="0" w:line="38" w:lineRule="exact"/>
        <w:rPr>
          <w:rFonts w:ascii="Arial" w:cs="Arial" w:eastAsia="Arial" w:hAnsi="Arial"/>
          <w:sz w:val="17"/>
          <w:szCs w:val="17"/>
          <w:color w:val="auto"/>
        </w:rPr>
      </w:pPr>
    </w:p>
    <w:p>
      <w:pPr>
        <w:ind w:left="740" w:right="2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returns: Distributors can request to return product to the Company only due to quality issues or for product purchased within one year prior to the product’s expiration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and in the same period that the related revenue is recorded. Due to the distributor’s legal right to offset, at each balance sheet date, the liability for rebates and discounts are presented as reductions of gross accounts receivable from the distributor, or as a current liability to the distributor to the extent that the total amount exceeds the gross accounts receivable or when the Company expects to settle the discount in cash. The distributor’s legal right of offset is calculated at the individual distributor level.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Acquisition Agreement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16, 2021, the Company entered into an exclusive license and option agreement with HiFiBiO Therapeutics (“HiFiBiO”) (“HiFiBiO Agreement”), pursuant to which the Company exclusively licensed all product candidates in HiFiBiO’s Galectin-9 program and will have the sole right to develop them worldwide. The Company has also obtained exclusive options to license all product candidates in HiFiBiO’s CXCR5 and CCR8 programs. Under the terms of the HiFiBiO Agreement, the Company will make a $25.0 million upfront payment to HiFiBiO, as well as payments upon option exercise. In addition, HiFiBiO may receive up to a total of an additional $1.1 billion in future option, clinical, regulatory, and commercial milestone payments across all three programs. HiFiBiO will also be eligible to receive royalties based upon worldwide net sales.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acquisition of these licenses was accounted for as an asset acquisition. The initial upfront payment of $25.0 million related to the license and options acquisition meets the definition of an in-process research and development asset (“IPR&amp;D asset”) under the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xml:space="preserve"> (“ASC 730”). It relates to particular research and development projects and is determined to have no alternative future uses and thus have no separate economic value. Therefore, this upfront payment was recorded as a research and development expense during the second quarter of 2021, and was paid during the three months ended September 30, 2021, which was reflected as an investing activity in the condensed consolidated statement of cash flows.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Contingent consideration payments will be evaluated and recognized when they become probable and reasonably estimable. The related IPR&amp;D asset will only be capitalized if it has an alternative future use other than in a particular research and development project. Otherwise, amounts allocated to IPR&amp;D asset that have no alternative use will be expensed. As of September 30, 2021, all programs were at the early stage of development and the contingencies related to the milestone payments had not been resolved, therefore no contingent consideration was recognized. The Company will reassess the probability of future option payments and contingent payments on a quarterly basis.</w:t>
      </w:r>
    </w:p>
    <w:p>
      <w:pPr>
        <w:spacing w:after="0" w:line="292" w:lineRule="exact"/>
        <w:rPr>
          <w:sz w:val="20"/>
          <w:szCs w:val="20"/>
          <w:color w:val="auto"/>
        </w:rPr>
      </w:pPr>
    </w:p>
    <w:p>
      <w:pPr>
        <w:ind w:right="6040" w:firstLine="8"/>
        <w:spacing w:after="0" w:line="378" w:lineRule="auto"/>
        <w:tabs>
          <w:tab w:leader="none" w:pos="499"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 License Agreement and Revenues Astellas Agreements</w:t>
      </w: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Under the Japan Agreement, the Company is also eligible to receive from Astellas an aggregate of approximately $132.5 million in potential milestone payments, comprised of (i) up to $22.5 million in milestone payments upon achievement of specified clinical and development milestone events (such amounts were fully received as of July 2016), (ii) up to</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$95.0 million in milestone payments upon achievement of specified regulatory milestone events, and (iii) up to approximately $15.0 million in milestone payments upon the achievement of specified commercial sales milestone. The Japan Agreement also provides for tiered payments based on net sales of product (as defined) in the low 20% range of the list price published by Japan’s Ministry of Health, Labour and Welfare, adjusted for certain elements, after commercial launch. The aggregate amount of consideration received through September 30, 2021 totals $105.1 million, excluding drug product revenue that is discussed separately below.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2018, FibroGen and Astellas entered into an amendment to the Japan Agreement that allows Astellas to manufacture roxadustat drug product for commercialization in Japan (the “Japan Amendment”). Under this amendment, FibroGen would continue to manufacture and supply roxadustat active pharmaceutical ingredient (“API”) to Astellas for the roxadustat commercial purposes in Japan. The commercial terms of the Japan Agreement relating to the transfer price for roxadustat for commercial use remain substantially the same, reflecting an adjustment for the manufacture of drug product by Astellas rather than FibroGen. The related drug product revenue, as described in details under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 was $2.1 million for the nine months ended September 30, 2021.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comprised of</w:t>
      </w:r>
    </w:p>
    <w:p>
      <w:pPr>
        <w:spacing w:after="0" w:line="1" w:lineRule="exact"/>
        <w:rPr>
          <w:sz w:val="20"/>
          <w:szCs w:val="20"/>
          <w:color w:val="auto"/>
        </w:rPr>
      </w:pPr>
    </w:p>
    <w:p>
      <w:pPr>
        <w:ind w:right="100" w:firstLine="8"/>
        <w:spacing w:after="0" w:line="253"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 to $90.0 million in milestone payments upon achievement of specified clinical and development milestone events (such amounts were fully received as of 2012), (ii) up to $335.0 million in milestone payments upon achievement of specified regulatory milestone events.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19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During the third quarter of 2021, the European Commission approved EVRENZO</w:t>
      </w:r>
      <w:r>
        <w:rPr>
          <w:rFonts w:ascii="Arial" w:cs="Arial" w:eastAsia="Arial" w:hAnsi="Arial"/>
          <w:sz w:val="14"/>
          <w:szCs w:val="14"/>
          <w:color w:val="auto"/>
        </w:rPr>
        <w:t>®</w:t>
      </w:r>
      <w:r>
        <w:rPr>
          <w:rFonts w:ascii="Arial" w:cs="Arial" w:eastAsia="Arial" w:hAnsi="Arial"/>
          <w:sz w:val="17"/>
          <w:szCs w:val="17"/>
          <w:color w:val="auto"/>
        </w:rPr>
        <w:t xml:space="preserve"> (roxadustat) for the treatment of adult patients with symptomatic anemia associated with CKD. Astellas has launched EVRENZO in Germany, the United Kingdom, the Netherlands, and Austria. This approval triggered a total of $120.0 million milestone payable to the Company by Astellas under the Europe Agreement. Accordingly, the consideration of $120.0 million associated with these milestones was included in the transaction price and allocated to performance obligations under the Europe Agreement, all of which was recognized as revenue during the third quarter of 2021 from performance obligations satisfied.</w:t>
      </w:r>
    </w:p>
    <w:p>
      <w:pPr>
        <w:spacing w:after="0" w:line="1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aggregate amount of consideration received under the Europe Agreement through September 30, 2021 totals $660.0 million, excluding drug product revenue that is discussed separately below.</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Under the Europe Agreement, Astellas has an option to purchase roxadustat bulk drug product in support of commercial supplies. During the first quarter of 2021, the Company entered into an Astellas EU Supply Agreement (“EU Supply Agreement”) under the Europe Agreement with Astellas to define general forecast, order, supply and payment terms for Astellas to purchase roxadustat bulk drug product from FibroGen in support of commercial supplies. The Company shipped bulk drug product to Astellas as pre-commercial supply for process validation purposes during the first quarter of 2021. The Company continued to record the consideration of $11.8 million from this shipment as deferred revenue as of September 30, 2021, as described in details under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paid upfront, non-contingent, non-refundable and time-based payments totaling $374.0 million (such amounts were fully received as of June 2016). Under the U.S./RoW Agreement, the Company is also eligible to receive from AstraZeneca an aggregate of approximately $875.0 million in potential milestone payments, comprised of (i) up to $65.0 million in milestone payments upon achievement of specified clinical and development milestone events (such amounts were fully received as of April 2020), (ii) up to $325.0 million in milestone payments upon achievement of specified regulatory milestone events, (iii) up to $160.0 million in milestone payments related to activity by potential competitors and</w:t>
      </w:r>
    </w:p>
    <w:p>
      <w:pPr>
        <w:spacing w:after="0" w:line="1" w:lineRule="exact"/>
        <w:rPr>
          <w:sz w:val="20"/>
          <w:szCs w:val="20"/>
          <w:color w:val="auto"/>
        </w:rPr>
      </w:pPr>
    </w:p>
    <w:p>
      <w:pPr>
        <w:ind w:right="20" w:firstLine="8"/>
        <w:spacing w:after="0" w:line="255" w:lineRule="auto"/>
        <w:tabs>
          <w:tab w:leader="none" w:pos="3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 to approximately $325.0 million in milestone payments upon the achievement of specified commercial sales events. The aggregate amount of consideration received under the U.S./RoW Agreement through September 30, 2021 totals $439.0 million, excluding drug product revenue that is discussed separately below.</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In 2020, the Company entered into Master Supply Agreement under the U.S./RoW Agreement with AstraZeneca (“Master Supply Agreement”) to define general forecast, order, supply and payment terms for AstraZeneca to purchase roxadustat bulk drug product from FibroGen in support of commercial supplies. The Company shipped bulk drug product to AstraZeneca as commercial supply during 2020, and the first and second quarter of 2021. In August 2021, the FDA Issued a complete response letter (“CRL”) regarding roxadustat’s New Drug Application for the treatment of anemia due to CKD in adult patients, stating that it could not be approved in its present form. The Company evaluated the impact of these developments in revising its estimates of variable consideration associated with drug product revenue and updated the estimated transaction price, and continued to record $11.2 million as deferred revenue as of September 30, 2021. See details under </w:t>
      </w:r>
      <w:r>
        <w:rPr>
          <w:rFonts w:ascii="Arial" w:cs="Arial" w:eastAsia="Arial" w:hAnsi="Arial"/>
          <w:sz w:val="17"/>
          <w:szCs w:val="17"/>
          <w:i w:val="1"/>
          <w:iCs w:val="1"/>
          <w:color w:val="auto"/>
        </w:rPr>
        <w:t>Drug Product Revenue</w:t>
      </w:r>
      <w:r>
        <w:rPr>
          <w:rFonts w:ascii="Arial" w:cs="Arial" w:eastAsia="Arial" w:hAnsi="Arial"/>
          <w:sz w:val="17"/>
          <w:szCs w:val="17"/>
          <w:color w:val="auto"/>
        </w:rPr>
        <w:t xml:space="preserve"> section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Effective July 30, 2013, the Company (through its subsidiaries affiliated with China) entered into the China Agreement (“China Agreement”). Under the terms of the China Agreement, AstraZeneca agreed to pay upfront consideration totaling $28.2 million (such amounts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which was amended under the China Amendment discussed below in the third quarter of 2020, and provides for joint development costs (including capital and equipment costs for construction of the manufacturing plant in China), to be shared equally during the development period. The aggregate amount of such consideration received for milestone and upfront payments through September 30, 2021 totals $77.2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Amendment</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July 2020, FibroGen China Anemia Holdings, Ltd., FibroGen Beijing, and FibroGen International (Hong Kong) Limited (collectively “FibroGen China”) and AstraZeneca (together with FibroGen China, the “Parties”) entered into the China Amendment, effective July 1, 2020, relating to the development and commercialization of roxadustat in China. While the responsibilities of the Parties under the China Agreement remain largely the same, certain changes were made.</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Under the China Amendment, in September 2020, FibroGen Beijing and AstraZeneca completed the establishment of a jointly owned entity, Falikang, which performs roxadustat distribution, as well as conduct sales and marketing through AstraZeneca.</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Under the China Amendment, the interim period is defined as the period from April 1, 2020 to the time when Falikang is fully operational. Falikang became fully operational in January 2021. The calculation for profit or loss share related to sales of roxadustat in China has changed for the period from April 1, 2020 onwards. With effect from April 1, 2020, the Parties have changed the method under which commercial expenses incurred by AstraZeneca are calculated and billed. AstraZeneca’s co-promotion expenses for their sales and marketing efforts are now subject to a cap of a percentage of net sales. Once AstraZeneca has been fully reimbursed for their sales and marketing costs under the cap, AstraZeneca will bill the co-promotion expenses based on actual costs on a prospective basis. In addition, the China Amendment has allowed for a higher cost of manufacturing incurred by FibroGen Beijing to be included in the profit or loss share calculation, subject to an annual cap, among other changes.</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Since Falikang became fully operational in January 2021, substantially all direct roxadustat product sales to distributors in China are made by Falikang, while FibroGen Beijing continues to sell roxadustat product directly in a few provinces in China. FibroGen Beijing manufactures and supplies commercial product to Falikang based on a gross transfer price, which is adjusted for the estimated profit share. In addition, AstraZeneca now bills the co-promotion expenses to Falikang and to FibroGen Beijing, respectively, for its services provided to the respective entity. Development costs continue to be shared 50/50 between the Parties.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During the three and nine months ended September 30, 2021, the Company recognized $10.3 million and $32.5 million, respectively, of net product revenue from the sales to Falikang, as described in details under </w:t>
      </w:r>
      <w:r>
        <w:rPr>
          <w:rFonts w:ascii="Arial" w:cs="Arial" w:eastAsia="Arial" w:hAnsi="Arial"/>
          <w:sz w:val="18"/>
          <w:szCs w:val="18"/>
          <w:i w:val="1"/>
          <w:iCs w:val="1"/>
          <w:color w:val="auto"/>
        </w:rPr>
        <w:t>Product Revenue, Net</w:t>
      </w:r>
      <w:r>
        <w:rPr>
          <w:rFonts w:ascii="Arial" w:cs="Arial" w:eastAsia="Arial" w:hAnsi="Arial"/>
          <w:sz w:val="18"/>
          <w:szCs w:val="18"/>
          <w:color w:val="auto"/>
        </w:rPr>
        <w:t xml:space="preserve"> section below.</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In addition to sales to Falikang, during the three and nine months ended September 30, 2021, the Company recognized $3.1 million and 9.7 million, respectively, of net product revenue from sales directly to distributors in a few provinces in China, as described as direct sales under </w:t>
      </w:r>
      <w:r>
        <w:rPr>
          <w:rFonts w:ascii="Arial" w:cs="Arial" w:eastAsia="Arial" w:hAnsi="Arial"/>
          <w:sz w:val="18"/>
          <w:szCs w:val="18"/>
          <w:i w:val="1"/>
          <w:iCs w:val="1"/>
          <w:color w:val="auto"/>
        </w:rPr>
        <w:t>Product Revenue, Net</w:t>
      </w:r>
      <w:r>
        <w:rPr>
          <w:rFonts w:ascii="Arial" w:cs="Arial" w:eastAsia="Arial" w:hAnsi="Arial"/>
          <w:sz w:val="18"/>
          <w:szCs w:val="18"/>
          <w:color w:val="auto"/>
        </w:rPr>
        <w:t xml:space="preserve"> section below.</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Eluminex Agreement</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July 2021, FibroGen exclusively licensed to Eluminex Biosciences (Suzhou) Limited (“Eluminex”) global rights to its investigational biosynthetic cornea derived from recombinant human collagen Type III.</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terms of the agreement with Eluminex (the “Eluminex Agreement”), Eluminex will make an $8.0 million upfront payment to FibroGen. In addition,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also be eligible to receive mid single-digit to low double-digit royalties based upon worldwide net sales of cornea products, and low single-digit to mid single-digit royalties based upon worldwide net sales of other recombinant human collagen type III products that are not cornea products.</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accounted for this agreement under ASC 606 and identified one performance obligation at inception of the agreement related to the granting of the license rights to the investigational biosynthetic cornea derived from recombinant human collagen Type III. The Company based its assessment on the determination that Eluminex can benefit from the granted license on its own by developing and commercializing the underlying product using its own resources. All components of the transaction price in the agreement were allocated to the single performance obligation. Additionally, the Company will be responsible for supplying the cornea product at 110% of its product manufacturing costs until its manufacturing technology is fully transferred to Eluminex. Supply of the cornea product will be managed by a separate agreement and is considered a separate performance obligation.</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third quarter of 2021, the $8.0 million upfront license payment was recognized as license revenue for the performance obligation satisfied. This amount was recorded as an unbilled contract asset as of September 30, 2021 in the prepaid expenses and other current assets in the condensed consolidated balance sheets. The remaining future variable consideration related to future manufacturing, clinical, regulatory milestone payments as described above were fully constrained because the Company cannot conclude that it is probable that a significant reversal of the amount of cumulative revenue recognized will not occur, given the inherent uncertainties of success with these future milestones. For commercial milestones and royalties, the Company determined that the license is the predominant item to which the royalties or sales-based milestones relate and revenue will be recognized when the corresponding milestones and royalties are earned.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 and Development Revenue Recognized Under the Collaboration Agreements and 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license revenue and development revenue under the Japan Agreement with Astellas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2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Performance Obligation</w:t>
            </w:r>
          </w:p>
        </w:tc>
        <w:tc>
          <w:tcPr>
            <w:tcW w:w="120" w:type="dxa"/>
            <w:vAlign w:val="bottom"/>
          </w:tcPr>
          <w:p>
            <w:pPr>
              <w:spacing w:after="0"/>
              <w:rPr>
                <w:sz w:val="14"/>
                <w:szCs w:val="14"/>
                <w:color w:val="auto"/>
              </w:rPr>
            </w:pP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240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1020" w:type="dxa"/>
            <w:vAlign w:val="bottom"/>
            <w:vMerge w:val="continue"/>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40" w:type="dxa"/>
            <w:vAlign w:val="bottom"/>
            <w:tcBorders>
              <w:top w:val="single" w:sz="8" w:color="CFF0FC"/>
            </w:tcBorders>
            <w:shd w:val="clear" w:color="auto" w:fill="CFF0FC"/>
          </w:tcPr>
          <w:p>
            <w:pPr>
              <w:spacing w:after="0"/>
              <w:rPr>
                <w:sz w:val="19"/>
                <w:szCs w:val="19"/>
                <w:color w:val="auto"/>
              </w:rPr>
            </w:pPr>
          </w:p>
        </w:tc>
        <w:tc>
          <w:tcPr>
            <w:tcW w:w="2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Development revenue</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89"/>
              </w:rPr>
              <w:t>66</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89"/>
              </w:rPr>
              <w:t>86</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Japan Agreement with Astellas,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September 30, 2021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100,347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100,347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16,595</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400" w:type="dxa"/>
            <w:vAlign w:val="bottom"/>
            <w:shd w:val="clear" w:color="auto" w:fill="CFF0FC"/>
          </w:tcPr>
          <w:p>
            <w:pPr>
              <w:ind w:left="240"/>
              <w:spacing w:after="0" w:line="195" w:lineRule="exact"/>
              <w:rPr>
                <w:sz w:val="20"/>
                <w:szCs w:val="20"/>
                <w:color w:val="auto"/>
              </w:rPr>
            </w:pPr>
            <w:r>
              <w:rPr>
                <w:rFonts w:ascii="Arial" w:cs="Arial" w:eastAsia="Arial" w:hAnsi="Arial"/>
                <w:sz w:val="18"/>
                <w:szCs w:val="18"/>
                <w:color w:val="auto"/>
              </w:rPr>
              <w:t>Total license and development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116,942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116,942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revenue recognized under the Japan Agreement for the three months ended September 30, 2021 included immaterial revenue resulting from changes to estimated variable consideration in the current period relating to performance obligations satisfied or partially satisfied in previous periods. The Company does not expect material variable consideration from estimated future co-development billing beyond the development period in the transaction price related to the Japan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as license revenue and development revenue under the Europe Agreement with Astellas were as follows (in thousands):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2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Performance Obligation</w:t>
            </w:r>
          </w:p>
        </w:tc>
        <w:tc>
          <w:tcPr>
            <w:tcW w:w="140" w:type="dxa"/>
            <w:vAlign w:val="bottom"/>
          </w:tcPr>
          <w:p>
            <w:pPr>
              <w:spacing w:after="0"/>
              <w:rPr>
                <w:sz w:val="14"/>
                <w:szCs w:val="14"/>
                <w:color w:val="auto"/>
              </w:rPr>
            </w:pPr>
          </w:p>
        </w:tc>
        <w:tc>
          <w:tcPr>
            <w:tcW w:w="2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14"/>
                <w:szCs w:val="14"/>
                <w:color w:val="auto"/>
              </w:rPr>
            </w:pPr>
          </w:p>
        </w:tc>
        <w:tc>
          <w:tcPr>
            <w:tcW w:w="240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56"/>
        </w:trPr>
        <w:tc>
          <w:tcPr>
            <w:tcW w:w="1040" w:type="dxa"/>
            <w:vAlign w:val="bottom"/>
            <w:vMerge w:val="continue"/>
          </w:tcPr>
          <w:p>
            <w:pPr>
              <w:spacing w:after="0"/>
              <w:rPr>
                <w:sz w:val="13"/>
                <w:szCs w:val="13"/>
                <w:color w:val="auto"/>
              </w:rPr>
            </w:pPr>
          </w:p>
        </w:tc>
        <w:tc>
          <w:tcPr>
            <w:tcW w:w="2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40" w:type="dxa"/>
            <w:vAlign w:val="bottom"/>
            <w:tcBorders>
              <w:top w:val="single" w:sz="8" w:color="CFF0FC"/>
            </w:tcBorders>
            <w:shd w:val="clear" w:color="auto" w:fill="CFF0FC"/>
          </w:tcPr>
          <w:p>
            <w:pPr>
              <w:spacing w:after="0"/>
              <w:rPr>
                <w:sz w:val="19"/>
                <w:szCs w:val="19"/>
                <w:color w:val="auto"/>
              </w:rPr>
            </w:pPr>
          </w:p>
        </w:tc>
        <w:tc>
          <w:tcPr>
            <w:tcW w:w="2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108,434</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108,434</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Development revenue</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14,061</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4,651</w:t>
            </w:r>
          </w:p>
        </w:tc>
        <w:tc>
          <w:tcPr>
            <w:tcW w:w="44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20,138</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Europe Agreement with Astellas,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Europe Agreement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September 30, 2021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596,385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596,385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269,100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400" w:type="dxa"/>
            <w:vAlign w:val="bottom"/>
            <w:shd w:val="clear" w:color="auto" w:fill="CFF0FC"/>
          </w:tcPr>
          <w:p>
            <w:pPr>
              <w:ind w:left="240"/>
              <w:spacing w:after="0" w:line="195" w:lineRule="exact"/>
              <w:rPr>
                <w:sz w:val="20"/>
                <w:szCs w:val="20"/>
                <w:color w:val="auto"/>
              </w:rPr>
            </w:pPr>
            <w:r>
              <w:rPr>
                <w:rFonts w:ascii="Arial" w:cs="Arial" w:eastAsia="Arial" w:hAnsi="Arial"/>
                <w:sz w:val="18"/>
                <w:szCs w:val="18"/>
                <w:color w:val="auto"/>
              </w:rPr>
              <w:t>Total license and development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865,485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865,485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revenue recognized under the Europe Agreement for the three months ended September 30, 2021 included an increase in revenue of $0.2 million resulting from changes to estimated variable consideration. The remainder of the transaction price related to the Europe Agreement includes $15.6 million of variable consideration from estimated future co-development billing and is expected to be recognized over the remaining development service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and China Agreement with AstraZeneca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Agreement</w:t>
            </w:r>
          </w:p>
        </w:tc>
        <w:tc>
          <w:tcPr>
            <w:tcW w:w="2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Performance Obligation</w:t>
            </w:r>
          </w:p>
        </w:tc>
        <w:tc>
          <w:tcPr>
            <w:tcW w:w="140" w:type="dxa"/>
            <w:vAlign w:val="bottom"/>
          </w:tcPr>
          <w:p>
            <w:pPr>
              <w:spacing w:after="0"/>
              <w:rPr>
                <w:sz w:val="14"/>
                <w:szCs w:val="14"/>
                <w:color w:val="auto"/>
              </w:rPr>
            </w:pPr>
          </w:p>
        </w:tc>
        <w:tc>
          <w:tcPr>
            <w:tcW w:w="2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200" w:type="dxa"/>
            <w:vAlign w:val="bottom"/>
          </w:tcPr>
          <w:p>
            <w:pPr>
              <w:spacing w:after="0"/>
              <w:rPr>
                <w:sz w:val="14"/>
                <w:szCs w:val="14"/>
                <w:color w:val="auto"/>
              </w:rPr>
            </w:pPr>
          </w:p>
        </w:tc>
        <w:tc>
          <w:tcPr>
            <w:tcW w:w="240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Nine Months Ended September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80" w:type="dxa"/>
            <w:vAlign w:val="bottom"/>
            <w:gridSpan w:val="2"/>
            <w:vMerge w:val="continue"/>
          </w:tcPr>
          <w:p>
            <w:pPr>
              <w:spacing w:after="0"/>
              <w:rPr>
                <w:sz w:val="13"/>
                <w:szCs w:val="13"/>
                <w:color w:val="auto"/>
              </w:rPr>
            </w:pPr>
          </w:p>
        </w:tc>
        <w:tc>
          <w:tcPr>
            <w:tcW w:w="2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40" w:type="dxa"/>
            <w:vAlign w:val="bottom"/>
            <w:tcBorders>
              <w:top w:val="single" w:sz="8" w:color="CFF0FC"/>
            </w:tcBorders>
            <w:shd w:val="clear" w:color="auto" w:fill="CFF0FC"/>
          </w:tcPr>
          <w:p>
            <w:pPr>
              <w:spacing w:after="0"/>
              <w:rPr>
                <w:sz w:val="18"/>
                <w:szCs w:val="18"/>
                <w:color w:val="auto"/>
              </w:rPr>
            </w:pPr>
          </w:p>
        </w:tc>
        <w:tc>
          <w:tcPr>
            <w:tcW w:w="2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04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40" w:type="dxa"/>
            <w:vAlign w:val="bottom"/>
            <w:shd w:val="clear" w:color="auto" w:fill="CFF0FC"/>
          </w:tcPr>
          <w:p>
            <w:pPr>
              <w:spacing w:after="0"/>
              <w:rPr>
                <w:sz w:val="20"/>
                <w:szCs w:val="20"/>
                <w:color w:val="auto"/>
              </w:rPr>
            </w:pPr>
          </w:p>
        </w:tc>
        <w:tc>
          <w:tcPr>
            <w:tcW w:w="2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80" w:type="dxa"/>
            <w:vAlign w:val="bottom"/>
            <w:gridSpan w:val="2"/>
          </w:tcPr>
          <w:p>
            <w:pPr>
              <w:ind w:left="120"/>
              <w:spacing w:after="0"/>
              <w:rPr>
                <w:sz w:val="20"/>
                <w:szCs w:val="20"/>
                <w:color w:val="auto"/>
              </w:rPr>
            </w:pPr>
            <w:r>
              <w:rPr>
                <w:rFonts w:ascii="Arial" w:cs="Arial" w:eastAsia="Arial" w:hAnsi="Arial"/>
                <w:sz w:val="18"/>
                <w:szCs w:val="18"/>
                <w:color w:val="auto"/>
              </w:rPr>
              <w:t>Development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15,220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43,525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China performance obligation</w:t>
            </w: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44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434"/>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 U.S./RoW Agreement and China Agreement with AstraZeneca, along with any associated deferred revenue as follows (in thousands):</w:t>
      </w:r>
    </w:p>
    <w:p>
      <w:pPr>
        <w:spacing w:after="0" w:line="1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7"/>
              </w:rPr>
              <w:t>Deferred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 RoW and China Agreements</w:t>
            </w:r>
          </w:p>
        </w:tc>
        <w:tc>
          <w:tcPr>
            <w:tcW w:w="200" w:type="dxa"/>
            <w:vAlign w:val="bottom"/>
          </w:tcPr>
          <w:p>
            <w:pPr>
              <w:spacing w:after="0"/>
              <w:rPr>
                <w:sz w:val="12"/>
                <w:szCs w:val="12"/>
                <w:color w:val="auto"/>
              </w:rPr>
            </w:pPr>
          </w:p>
        </w:tc>
        <w:tc>
          <w:tcPr>
            <w:tcW w:w="164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Revenue at</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September 30, 2021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September 30, 2021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gridSpan w:val="2"/>
          </w:tcPr>
          <w:p>
            <w:pPr>
              <w:spacing w:after="0"/>
              <w:rPr>
                <w:sz w:val="20"/>
                <w:szCs w:val="20"/>
                <w:color w:val="auto"/>
              </w:rPr>
            </w:pPr>
            <w:r>
              <w:rPr>
                <w:rFonts w:ascii="Arial" w:cs="Arial" w:eastAsia="Arial" w:hAnsi="Arial"/>
                <w:sz w:val="18"/>
                <w:szCs w:val="18"/>
                <w:color w:val="auto"/>
              </w:rPr>
              <w:t>Co-development, information sharing &amp;</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80"/>
              <w:spacing w:after="0"/>
              <w:rPr>
                <w:sz w:val="20"/>
                <w:szCs w:val="20"/>
                <w:color w:val="auto"/>
              </w:rPr>
            </w:pPr>
            <w:r>
              <w:rPr>
                <w:rFonts w:ascii="Arial" w:cs="Arial" w:eastAsia="Arial" w:hAnsi="Arial"/>
                <w:sz w:val="18"/>
                <w:szCs w:val="18"/>
                <w:color w:val="auto"/>
              </w:rPr>
              <w:t>committee services</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594,713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1,428</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596,141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China performance obligation *</w:t>
            </w: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160,267</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00" w:type="dxa"/>
            <w:vAlign w:val="bottom"/>
            <w:gridSpan w:val="2"/>
          </w:tcPr>
          <w:p>
            <w:pPr>
              <w:ind w:left="240"/>
              <w:spacing w:after="0"/>
              <w:rPr>
                <w:sz w:val="20"/>
                <w:szCs w:val="20"/>
                <w:color w:val="auto"/>
              </w:rPr>
            </w:pPr>
            <w:r>
              <w:rPr>
                <w:rFonts w:ascii="Arial" w:cs="Arial" w:eastAsia="Arial" w:hAnsi="Arial"/>
                <w:sz w:val="18"/>
                <w:szCs w:val="18"/>
                <w:color w:val="auto"/>
              </w:rPr>
              <w:t>Total license and development</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38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969,052</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161,695</w:t>
            </w:r>
          </w:p>
        </w:tc>
        <w:tc>
          <w:tcPr>
            <w:tcW w:w="560" w:type="dxa"/>
            <w:vAlign w:val="bottom"/>
            <w:gridSpan w:val="3"/>
          </w:tcPr>
          <w:p>
            <w:pPr>
              <w:jc w:val="right"/>
              <w:ind w:right="27"/>
              <w:spacing w:after="0"/>
              <w:rPr>
                <w:sz w:val="20"/>
                <w:szCs w:val="20"/>
                <w:color w:val="auto"/>
              </w:rPr>
            </w:pPr>
            <w:r>
              <w:rPr>
                <w:rFonts w:ascii="Arial" w:cs="Arial" w:eastAsia="Arial" w:hAnsi="Arial"/>
                <w:sz w:val="18"/>
                <w:szCs w:val="18"/>
                <w:color w:val="auto"/>
              </w:rPr>
              <w:t>** $</w:t>
            </w:r>
          </w:p>
        </w:tc>
        <w:tc>
          <w:tcPr>
            <w:tcW w:w="1620" w:type="dxa"/>
            <w:vAlign w:val="bottom"/>
          </w:tcPr>
          <w:p>
            <w:pPr>
              <w:jc w:val="right"/>
              <w:spacing w:after="0"/>
              <w:rPr>
                <w:sz w:val="20"/>
                <w:szCs w:val="20"/>
                <w:color w:val="auto"/>
              </w:rPr>
            </w:pPr>
            <w:r>
              <w:rPr>
                <w:rFonts w:ascii="Arial" w:cs="Arial" w:eastAsia="Arial" w:hAnsi="Arial"/>
                <w:sz w:val="18"/>
                <w:szCs w:val="18"/>
                <w:color w:val="auto"/>
              </w:rPr>
              <w:t>1,130,747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China performance obligation revenue is recognized as product revenue, as described in details under </w:t>
      </w:r>
      <w:r>
        <w:rPr>
          <w:rFonts w:ascii="Arial" w:cs="Arial" w:eastAsia="Arial" w:hAnsi="Arial"/>
          <w:sz w:val="17"/>
          <w:szCs w:val="17"/>
          <w:i w:val="1"/>
          <w:iCs w:val="1"/>
          <w:color w:val="auto"/>
        </w:rPr>
        <w:t>Product Revenue, Net</w:t>
      </w:r>
      <w:r>
        <w:rPr>
          <w:rFonts w:ascii="Arial" w:cs="Arial" w:eastAsia="Arial" w:hAnsi="Arial"/>
          <w:sz w:val="17"/>
          <w:szCs w:val="17"/>
          <w:color w:val="auto"/>
        </w:rPr>
        <w:t xml:space="preserve">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951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9" w:lineRule="exact"/>
        <w:rPr>
          <w:sz w:val="20"/>
          <w:szCs w:val="20"/>
          <w:color w:val="auto"/>
        </w:rPr>
      </w:pPr>
    </w:p>
    <w:p>
      <w:pPr>
        <w:ind w:left="380" w:right="380" w:hanging="372"/>
        <w:spacing w:after="0" w:line="311"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Contract assets and liabilities related to rights and obligations in the same contract are recorded net on the consolidated balance sheets. As of September 30, 2021, deferred revenue included $154.7 million related to the U.S./RoW and China Agreement, which represents the net of $161.7 million of deferred revenue presented above and a $7.0 million unbilled co-development revenue under the China Amendment with AstraZeneca.</w:t>
      </w:r>
    </w:p>
    <w:p>
      <w:pPr>
        <w:spacing w:after="0" w:line="14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revenue recognized under the U.S./RoW Agreement for the three months ended September 30, 2021 included a reduction in revenue of $0.8 million resulting from changes to estimated variable consideration. The remainder of the transaction price related to the U.S./RoW Agreement and China Agreement includes $35.3 million of variable consideration from estimated future co-development billing and is expected to be recognized over the remaining development service period, except for amounts allocated to the China performance obligation. The amount allocated to the U.S./RoW Agreement is expected to be recognized over the remaining development service period. The amount allocated to the China performance obligation is expected to be recognized as the Company transfers control of the commercial products to Falikang.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Eluminex were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Performance Obligation</w:t>
            </w:r>
          </w:p>
        </w:tc>
        <w:tc>
          <w:tcPr>
            <w:tcW w:w="160" w:type="dxa"/>
            <w:vAlign w:val="bottom"/>
          </w:tcPr>
          <w:p>
            <w:pPr>
              <w:spacing w:after="0"/>
              <w:rPr>
                <w:sz w:val="14"/>
                <w:szCs w:val="14"/>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1320" w:type="dxa"/>
            <w:vAlign w:val="bottom"/>
            <w:gridSpan w:val="2"/>
            <w:vMerge w:val="continue"/>
          </w:tcPr>
          <w:p>
            <w:pPr>
              <w:spacing w:after="0"/>
              <w:rPr>
                <w:sz w:val="13"/>
                <w:szCs w:val="13"/>
                <w:color w:val="auto"/>
              </w:rPr>
            </w:pPr>
          </w:p>
        </w:tc>
        <w:tc>
          <w:tcPr>
            <w:tcW w:w="3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16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6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Eluminex</w:t>
            </w:r>
          </w:p>
        </w:tc>
        <w:tc>
          <w:tcPr>
            <w:tcW w:w="160" w:type="dxa"/>
            <w:vAlign w:val="bottom"/>
            <w:tcBorders>
              <w:top w:val="single" w:sz="8" w:color="CFF0FC"/>
            </w:tcBorders>
            <w:shd w:val="clear" w:color="auto" w:fill="CFF0FC"/>
          </w:tcPr>
          <w:p>
            <w:pPr>
              <w:spacing w:after="0"/>
              <w:rPr>
                <w:sz w:val="19"/>
                <w:szCs w:val="19"/>
                <w:color w:val="auto"/>
              </w:rPr>
            </w:pPr>
          </w:p>
        </w:tc>
        <w:tc>
          <w:tcPr>
            <w:tcW w:w="3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8,000</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net from the sales of roxadustat commercial product in China was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Three Months Ended 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Nine Months Ended September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22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Direct Sales:</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Gross revenue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3,249</w:t>
            </w:r>
          </w:p>
        </w:tc>
        <w:tc>
          <w:tcPr>
            <w:tcW w:w="14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27,900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10,908</w:t>
            </w:r>
          </w:p>
        </w:tc>
        <w:tc>
          <w:tcPr>
            <w:tcW w:w="14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53,105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Discounts and rebates</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(5,209)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(1,314)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(9,721)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Sales returns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Direct sales revenue, net</w:t>
            </w:r>
          </w:p>
        </w:tc>
        <w:tc>
          <w:tcPr>
            <w:tcW w:w="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22,683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43,331</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to Falikang:</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Gross transfer price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82,294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Profit share</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(12,090)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(31,726)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Net transfer price</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in deferred revenue</w:t>
            </w: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(8,761)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(18,073)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Sales to Falikang revenue, net</w:t>
            </w:r>
          </w:p>
        </w:tc>
        <w:tc>
          <w:tcPr>
            <w:tcW w:w="5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product revenue, net</w:t>
            </w:r>
          </w:p>
        </w:tc>
        <w:tc>
          <w:tcPr>
            <w:tcW w:w="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22,683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43,331</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Product revenue from direct roxadustat product sales to distributors in China is recognized in an amount that reflects the consideration that the Company expects to be entitled to in exchange for those products, net of various sales rebates and discounts. The total discounts and rebates were $0.1 million and $5.2 million for the three months ended September 30, 2021 and 2020, and $1.3 million and $9.7 million for the nine months ended September 30, 2021 and 2020, respectively. The discounts and rebates primarily consisted of the contractual sales rebate calculated based on the stated percentage of gross sales by each distributor in the distribution agreement entered between FibroGen and each distributor. In addition, the discounts and rebates for the three and nine months ended September 30, 2020 primarily included the non-key account hospital listing award calculated based on eligible non-key account hospital listing to date achieved by each distributor with certain requirements met during the period.</w:t>
      </w:r>
    </w:p>
    <w:p>
      <w:pPr>
        <w:spacing w:after="0" w:line="17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rebates and discounts that the Company’s pharmaceutical distributors have earned are eligible to be applied against future sales orders, limited to certain maximums until such rebates and discounts are exhausted. These rebates and discounts are recorded as contract liabilities at the time they become eligible in the same period that the related revenue is recorded. Due to the Company’s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calculated at the individual distributor level. The following table includes a roll-forward of the contract liabilities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140" w:type="dxa"/>
            <w:vAlign w:val="bottom"/>
          </w:tcPr>
          <w:p>
            <w:pPr>
              <w:spacing w:after="0"/>
              <w:rPr>
                <w:sz w:val="12"/>
                <w:szCs w:val="12"/>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6"/>
              </w:rPr>
              <w:t>Deduction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and Other</w:t>
            </w:r>
          </w:p>
        </w:tc>
        <w:tc>
          <w:tcPr>
            <w:tcW w:w="14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revenue - Direct sales - contract liabilities</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of September 30, 2021 and December 31, 2020, the total contract liabilities were $10.3 million and $15.1 million, which were included in accrued and other current liabilities in the condensed consolidated balance sheet. The rebates and discounts reflected as reductions to gross accounts receivable for direct sales was $0.8 million and $0.5 million as of September 30, 2021 and December 31, 2020,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 – China Performance Obligation</w:t>
      </w:r>
    </w:p>
    <w:p>
      <w:pPr>
        <w:spacing w:after="0" w:line="11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Since Falikang became fully operational in January 2021, substantially all direct roxadustat product sales to distributors in China are made by Falikang. FibroGen Beijing manufactures and supplies commercial product to Falikang. The net transfer price for FibroGen Beijing’s product sales to Falikang is based on a gross transfer price, which is adjusted to account for the 50/50 profit share for the period.</w:t>
      </w:r>
    </w:p>
    <w:p>
      <w:pPr>
        <w:spacing w:after="0" w:line="16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roxadustat sales to Falikang marked the beginning of the Company’s China performance obligation under the Company’s agreements with AstraZeneca</w:t>
      </w:r>
      <w:r>
        <w:rPr>
          <w:rFonts w:ascii="Arial" w:cs="Arial" w:eastAsia="Arial" w:hAnsi="Arial"/>
          <w:sz w:val="18"/>
          <w:szCs w:val="18"/>
          <w:i w:val="1"/>
          <w:iCs w:val="1"/>
          <w:color w:val="auto"/>
        </w:rPr>
        <w:t>.</w:t>
      </w:r>
      <w:r>
        <w:rPr>
          <w:rFonts w:ascii="Arial" w:cs="Arial" w:eastAsia="Arial" w:hAnsi="Arial"/>
          <w:sz w:val="18"/>
          <w:szCs w:val="18"/>
          <w:color w:val="auto"/>
        </w:rPr>
        <w:t xml:space="preserve"> 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Any net transfer price in excess of the revenue recognized is added to the deferred balance to date, and will be recognized over future periods as the performance obligations are satisfied. During the three and nine months ended September 30, 2021, following updates to its estimates, the Company deferred $8.8 million and $18.1 million, respectively, from the net transfer price to Falikang, which was included in the related deferred revenue of the China performance obligation.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roll-forward of the related deferred revenue that is considered as a contract liability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Recognized as</w:t>
            </w: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09"/>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revenue - AstraZeneca</w:t>
            </w:r>
          </w:p>
        </w:tc>
        <w:tc>
          <w:tcPr>
            <w:tcW w:w="5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China performance obligation - deferred revenue</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(137,338)</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(55,424)</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32,495</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(160,267)</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September 30, 2021, approximately $8.5 million of the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reductions to gross accounts receivable related to product revenue to Falikang was $23.1 million as of September 30,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Drug product revenue from commercial-grade API or bulk drug product sales to AstraZeneca and Astellas was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8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284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Astellas</w:t>
            </w:r>
          </w:p>
        </w:tc>
        <w:tc>
          <w:tcPr>
            <w:tcW w:w="9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w:t>
            </w:r>
          </w:p>
        </w:tc>
        <w:tc>
          <w:tcPr>
            <w:tcW w:w="100" w:type="dxa"/>
            <w:vAlign w:val="bottom"/>
            <w:shd w:val="clear" w:color="auto" w:fill="CFF0FC"/>
          </w:tcPr>
          <w:p>
            <w:pPr>
              <w:spacing w:after="0"/>
              <w:rPr>
                <w:sz w:val="19"/>
                <w:szCs w:val="19"/>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AstraZeneca</w:t>
            </w: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(2,224)</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19"/>
                <w:szCs w:val="19"/>
                <w:color w:val="auto"/>
              </w:rPr>
            </w:pPr>
          </w:p>
        </w:tc>
      </w:tr>
      <w:tr>
        <w:trPr>
          <w:trHeight w:val="223"/>
        </w:trPr>
        <w:tc>
          <w:tcPr>
            <w:tcW w:w="284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Drug product revenue</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During the second quarter of 2021, the Company shipped bulk drug product to AstraZeneca as commercial supply under the terms of the Master Supply Agreement. Based on the CRL issued by the FDA in August 2021, the Company evaluated the impact of these developments in revising its estimates of variable consideration associated with drug product revenue. As a result, the Company updated the estimated transaction price, and continued to record $11.2 million as deferred revenue as of September 30, 2021.</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first six months of 2021, the Company updated its estimate of variable consideration and recorded an adjustment of $2.1 million to the drug product revenue related to the API shipments fulfilled under the terms of the Japan Amendment with Astellas in 2018. Specifically, the change in estimated variable consideration was based on the API held by Astellas at the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first quarter of 2021, the Company shipped bulk drug product from process validation supplies for commercial purposes under the terms of the Europe Agreement and the EU Supply Agreement with Astellas. The Company continued to record the consideration of $11.8 million from this shipment as deferred revenue as of September 30, 2021, due to a high degree of uncertainty associated with the final consideration. The deferred revenue will be recognized as and when the uncertainty is resolved.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includes a roll-forward of the above-mentioned deferred revenues that are considered as contract liabilities related to drug product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4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Recognized as</w:t>
            </w:r>
          </w:p>
        </w:tc>
        <w:tc>
          <w:tcPr>
            <w:tcW w:w="12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December 31, 2020</w:t>
            </w:r>
          </w:p>
        </w:tc>
        <w:tc>
          <w:tcPr>
            <w:tcW w:w="2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Astellas - Japan Agreement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Astellas - Europe Agreement</w:t>
            </w:r>
          </w:p>
        </w:tc>
        <w:tc>
          <w:tcPr>
            <w:tcW w:w="1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(5,984)</w:t>
            </w:r>
          </w:p>
        </w:tc>
        <w:tc>
          <w:tcPr>
            <w:tcW w:w="2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(11,759)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(17,743)</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AstraZeneca - U.S. Agreement</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(11,171)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(11,171)</w:t>
            </w:r>
          </w:p>
        </w:tc>
        <w:tc>
          <w:tcPr>
            <w:tcW w:w="0" w:type="dxa"/>
            <w:vAlign w:val="bottom"/>
          </w:tcPr>
          <w:p>
            <w:pPr>
              <w:spacing w:after="0"/>
              <w:rPr>
                <w:sz w:val="1"/>
                <w:szCs w:val="1"/>
                <w:color w:val="auto"/>
              </w:rPr>
            </w:pPr>
          </w:p>
        </w:tc>
      </w:tr>
      <w:tr>
        <w:trPr>
          <w:trHeight w:val="223"/>
        </w:trPr>
        <w:tc>
          <w:tcPr>
            <w:tcW w:w="4740" w:type="dxa"/>
            <w:vAlign w:val="bottom"/>
          </w:tcPr>
          <w:p>
            <w:pPr>
              <w:ind w:left="140"/>
              <w:spacing w:after="0"/>
              <w:rPr>
                <w:sz w:val="20"/>
                <w:szCs w:val="20"/>
                <w:color w:val="auto"/>
              </w:rPr>
            </w:pPr>
            <w:r>
              <w:rPr>
                <w:rFonts w:ascii="Arial" w:cs="Arial" w:eastAsia="Arial" w:hAnsi="Arial"/>
                <w:sz w:val="18"/>
                <w:szCs w:val="18"/>
                <w:color w:val="auto"/>
              </w:rPr>
              <w:t>Drug product revenue - deferred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(5,984)</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Falikang is a distribution entity jointly owned by AstraZeneca and FibroGen Beijing. FibroGen Beijing owns 51.1% of the outstanding shares of Falikang.</w:t>
      </w:r>
    </w:p>
    <w:p>
      <w:pPr>
        <w:spacing w:after="0" w:line="248"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 xml:space="preserve">Pursuant to the guidance under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 the Company concluded that Falikang qualifies as a VIE. As Falikang is a distribution entity and AstraZeneca is the final decision maker for all the roxadustat commercialization activities, the Company lacks the power criterion while AstraZeneca meets both the power and economic criteria under the ASC 810, to direct the activities of Falikang that most significantly impact its performance. Therefore, the Company is not the primary beneficiary of this VIE for accounting purposes. As a result, the Company accounts for its investment in Falikang under the equity method, and Falikang is not consolidated into the Company’s condensed consolidated financial statements. Accordingly, the Company records its total investments in Falikang as an equity method investment in an unconsolidated VIE in the condensed consolidated balance sheet. In addition, the Company recognizes its proportionate share of the reported profits or losses of Falikang as investment gain or loss in unconsolidated VIE in the condensed consolidated statement of operations, and as an adjustment to its investment in Falikang in the condensed consolidated balance sheet. Falikang has not incurred material profit or loss to date. The Company may provide shareholder loans to Falikang to meet necessary financial obligations as part of its operations. To date, these loans have been immaterial.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method investment in Falikang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40" w:type="dxa"/>
            <w:vAlign w:val="bottom"/>
            <w:vMerge w:val="restart"/>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Ownership</w:t>
            </w:r>
          </w:p>
        </w:tc>
        <w:tc>
          <w:tcPr>
            <w:tcW w:w="1600" w:type="dxa"/>
            <w:vAlign w:val="bottom"/>
          </w:tcPr>
          <w:p>
            <w:pPr>
              <w:jc w:val="center"/>
              <w:ind w:left="362"/>
              <w:spacing w:after="0"/>
              <w:rPr>
                <w:sz w:val="20"/>
                <w:szCs w:val="20"/>
                <w:color w:val="auto"/>
              </w:rPr>
            </w:pPr>
            <w:r>
              <w:rPr>
                <w:rFonts w:ascii="Arial" w:cs="Arial" w:eastAsia="Arial" w:hAnsi="Arial"/>
                <w:sz w:val="14"/>
                <w:szCs w:val="14"/>
                <w:b w:val="1"/>
                <w:bCs w:val="1"/>
                <w:color w:val="auto"/>
                <w:w w:val="91"/>
              </w:rPr>
              <w:t>Balance at</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Share of Net Income</w:t>
            </w:r>
          </w:p>
        </w:tc>
        <w:tc>
          <w:tcPr>
            <w:tcW w:w="34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Currency</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14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Percentage</w:t>
            </w:r>
          </w:p>
        </w:tc>
        <w:tc>
          <w:tcPr>
            <w:tcW w:w="40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jc w:val="center"/>
              <w:ind w:left="362"/>
              <w:spacing w:after="0"/>
              <w:rPr>
                <w:sz w:val="20"/>
                <w:szCs w:val="20"/>
                <w:color w:val="auto"/>
              </w:rPr>
            </w:pPr>
            <w:r>
              <w:rPr>
                <w:rFonts w:ascii="Arial" w:cs="Arial" w:eastAsia="Arial" w:hAnsi="Arial"/>
                <w:sz w:val="14"/>
                <w:szCs w:val="14"/>
                <w:b w:val="1"/>
                <w:bCs w:val="1"/>
                <w:color w:val="auto"/>
                <w:w w:val="91"/>
              </w:rPr>
              <w:t>December 31, 2020</w:t>
            </w: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Falikang</w:t>
            </w:r>
          </w:p>
        </w:tc>
        <w:tc>
          <w:tcPr>
            <w:tcW w:w="2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51.1%</w:t>
            </w:r>
          </w:p>
        </w:tc>
        <w:tc>
          <w:tcPr>
            <w:tcW w:w="1600" w:type="dxa"/>
            <w:vAlign w:val="bottom"/>
            <w:tcBorders>
              <w:bottom w:val="single" w:sz="8" w:color="auto"/>
            </w:tcBorders>
            <w:shd w:val="clear" w:color="auto" w:fill="CFF0FC"/>
          </w:tcPr>
          <w:p>
            <w:pPr>
              <w:jc w:val="right"/>
              <w:ind w:right="142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2,728</w:t>
            </w:r>
          </w:p>
        </w:tc>
        <w:tc>
          <w:tcPr>
            <w:tcW w:w="3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Falikang is considered a related party to the Company. See Note 9,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related disclosures.</w:t>
      </w:r>
    </w:p>
    <w:p>
      <w:pPr>
        <w:spacing w:after="0" w:line="329"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September 30, 2021</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171,628</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126,994</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126,994</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107,402</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107,402</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U.S. government bonds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73,108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73,108</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Agency bonds</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23,399</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23,399</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27,256</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27,256</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Foreign government bonds</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8,127</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8,127</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r>
      <w:tr>
        <w:trPr>
          <w:trHeight w:val="223"/>
        </w:trPr>
        <w:tc>
          <w:tcPr>
            <w:tcW w:w="4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244,961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293,178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538,139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590,347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590,347</w:t>
            </w:r>
          </w:p>
        </w:tc>
        <w:tc>
          <w:tcPr>
            <w:tcW w:w="100" w:type="dxa"/>
            <w:vAlign w:val="bottom"/>
            <w:shd w:val="clear" w:color="auto" w:fill="CFF0FC"/>
          </w:tcPr>
          <w:p>
            <w:pPr>
              <w:spacing w:after="0"/>
              <w:rPr>
                <w:sz w:val="19"/>
                <w:szCs w:val="19"/>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590,591</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598,735</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There were no transfers of assets between levels during the three and nine months ended September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liabilities related to lease obligations as of September 30, 2021 and December 31, 2020 were immaterial.</w:t>
      </w:r>
    </w:p>
    <w:p>
      <w:pPr>
        <w:spacing w:after="0" w:line="329"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assets and related lease liabilities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Balance Sheet Line Item</w:t>
            </w:r>
          </w:p>
        </w:tc>
        <w:tc>
          <w:tcPr>
            <w:tcW w:w="80" w:type="dxa"/>
            <w:vAlign w:val="bottom"/>
          </w:tcPr>
          <w:p>
            <w:pPr>
              <w:spacing w:after="0"/>
              <w:rPr>
                <w:sz w:val="14"/>
                <w:szCs w:val="1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September 30, 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2020</w:t>
            </w: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Finance:</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cost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50,477</w:t>
            </w: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(20,871)</w:t>
            </w:r>
          </w:p>
        </w:tc>
      </w:tr>
      <w:tr>
        <w:trPr>
          <w:trHeight w:val="223"/>
        </w:trPr>
        <w:tc>
          <w:tcPr>
            <w:tcW w:w="40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Finance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Operating:</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cost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3,934</w:t>
            </w: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(6,655)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(1,891)</w:t>
            </w:r>
          </w:p>
        </w:tc>
      </w:tr>
      <w:tr>
        <w:trPr>
          <w:trHeight w:val="223"/>
        </w:trPr>
        <w:tc>
          <w:tcPr>
            <w:tcW w:w="40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94,055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4080" w:type="dxa"/>
            <w:vAlign w:val="bottom"/>
            <w:tcBorders>
              <w:bottom w:val="single" w:sz="8" w:color="CFF0FC"/>
            </w:tcBorders>
          </w:tcPr>
          <w:p>
            <w:pPr>
              <w:jc w:val="right"/>
              <w:ind w:right="2130"/>
              <w:spacing w:after="0"/>
              <w:rPr>
                <w:sz w:val="20"/>
                <w:szCs w:val="20"/>
                <w:color w:val="auto"/>
              </w:rPr>
            </w:pPr>
            <w:r>
              <w:rPr>
                <w:rFonts w:ascii="Arial" w:cs="Arial" w:eastAsia="Arial" w:hAnsi="Arial"/>
                <w:sz w:val="18"/>
                <w:szCs w:val="18"/>
                <w:color w:val="auto"/>
              </w:rPr>
              <w:t>Total lease assets</w:t>
            </w:r>
          </w:p>
        </w:tc>
        <w:tc>
          <w:tcPr>
            <w:tcW w:w="38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94,826</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31,649</w:t>
            </w:r>
          </w:p>
        </w:tc>
        <w:tc>
          <w:tcPr>
            <w:tcW w:w="120" w:type="dxa"/>
            <w:vAlign w:val="bottom"/>
            <w:tcBorders>
              <w:bottom w:val="single" w:sz="8" w:color="CFF0FC"/>
            </w:tcBorders>
          </w:tcPr>
          <w:p>
            <w:pPr>
              <w:spacing w:after="0"/>
              <w:rPr>
                <w:sz w:val="22"/>
                <w:szCs w:val="22"/>
                <w:color w:val="auto"/>
              </w:rPr>
            </w:pPr>
          </w:p>
        </w:tc>
      </w:tr>
      <w:tr>
        <w:trPr>
          <w:trHeight w:val="210"/>
        </w:trPr>
        <w:tc>
          <w:tcPr>
            <w:tcW w:w="4080" w:type="dxa"/>
            <w:vAlign w:val="bottom"/>
            <w:shd w:val="clear" w:color="auto" w:fill="CFF0FC"/>
          </w:tcPr>
          <w:p>
            <w:pPr>
              <w:spacing w:after="0"/>
              <w:rPr>
                <w:sz w:val="18"/>
                <w:szCs w:val="18"/>
                <w:color w:val="auto"/>
              </w:rPr>
            </w:pPr>
          </w:p>
        </w:tc>
        <w:tc>
          <w:tcPr>
            <w:tcW w:w="3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tcPr>
          <w:p>
            <w:pPr>
              <w:spacing w:after="0"/>
              <w:rPr>
                <w:sz w:val="20"/>
                <w:szCs w:val="20"/>
                <w:color w:val="auto"/>
              </w:rPr>
            </w:pPr>
            <w:r>
              <w:rPr>
                <w:rFonts w:ascii="Arial" w:cs="Arial" w:eastAsia="Arial" w:hAnsi="Arial"/>
                <w:sz w:val="18"/>
                <w:szCs w:val="18"/>
                <w:color w:val="auto"/>
              </w:rPr>
              <w:t>Finance lease liabilities, current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tcPr>
          <w:p>
            <w:pPr>
              <w:spacing w:after="0"/>
              <w:rPr>
                <w:sz w:val="19"/>
                <w:szCs w:val="19"/>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current</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Non-current:</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liabilities, non-current</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25,391</w:t>
            </w:r>
          </w:p>
        </w:tc>
        <w:tc>
          <w:tcPr>
            <w:tcW w:w="120" w:type="dxa"/>
            <w:vAlign w:val="bottom"/>
            <w:shd w:val="clear" w:color="auto" w:fill="CFF0FC"/>
          </w:tcPr>
          <w:p>
            <w:pPr>
              <w:spacing w:after="0"/>
              <w:rPr>
                <w:sz w:val="19"/>
                <w:szCs w:val="19"/>
                <w:color w:val="auto"/>
              </w:rPr>
            </w:pPr>
          </w:p>
        </w:tc>
      </w:tr>
      <w:tr>
        <w:trPr>
          <w:trHeight w:val="230"/>
        </w:trPr>
        <w:tc>
          <w:tcPr>
            <w:tcW w:w="4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lease liabilities, non-current</w:t>
            </w: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91,478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FF0FC"/>
            </w:tcBorders>
          </w:tcPr>
          <w:p>
            <w:pPr>
              <w:spacing w:after="0"/>
              <w:rPr>
                <w:sz w:val="19"/>
                <w:szCs w:val="19"/>
                <w:color w:val="auto"/>
              </w:rPr>
            </w:pPr>
          </w:p>
        </w:tc>
      </w:tr>
      <w:tr>
        <w:trPr>
          <w:trHeight w:val="223"/>
        </w:trPr>
        <w:tc>
          <w:tcPr>
            <w:tcW w:w="4080" w:type="dxa"/>
            <w:vAlign w:val="bottom"/>
            <w:tcBorders>
              <w:bottom w:val="single" w:sz="8" w:color="CFF0FC"/>
            </w:tcBorders>
            <w:shd w:val="clear" w:color="auto" w:fill="CFF0FC"/>
          </w:tcPr>
          <w:p>
            <w:pPr>
              <w:jc w:val="right"/>
              <w:ind w:right="2130"/>
              <w:spacing w:after="0"/>
              <w:rPr>
                <w:sz w:val="20"/>
                <w:szCs w:val="20"/>
                <w:color w:val="auto"/>
              </w:rPr>
            </w:pPr>
            <w:r>
              <w:rPr>
                <w:rFonts w:ascii="Arial" w:cs="Arial" w:eastAsia="Arial" w:hAnsi="Arial"/>
                <w:sz w:val="18"/>
                <w:szCs w:val="18"/>
                <w:color w:val="auto"/>
              </w:rPr>
              <w:t>Total lease liabilities</w:t>
            </w:r>
          </w:p>
        </w:tc>
        <w:tc>
          <w:tcPr>
            <w:tcW w:w="3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102,329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39,762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auto"/>
        </w:rPr>
        <w:t xml:space="preserve">The Company’s long-term property lease with Alexandria for its corporate headquarters in San Francisco, California, had an initial term of 15 years, scheduled to expire in 2023. The original lease was accounted for as a finance lease upon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at January 1, 2019.</w:t>
      </w:r>
    </w:p>
    <w:p>
      <w:pPr>
        <w:ind w:right="20"/>
        <w:spacing w:after="0" w:line="296" w:lineRule="auto"/>
        <w:rPr>
          <w:sz w:val="20"/>
          <w:szCs w:val="20"/>
          <w:color w:val="auto"/>
        </w:rPr>
      </w:pPr>
      <w:r>
        <w:rPr>
          <w:rFonts w:ascii="Arial" w:cs="Arial" w:eastAsia="Arial" w:hAnsi="Arial"/>
          <w:sz w:val="16"/>
          <w:szCs w:val="16"/>
          <w:color w:val="auto"/>
        </w:rPr>
        <w:t>On June 1, 2021, the Company entered into an amendment with Alexandria to extend the lease to 2028 (“Lease Amendment”). Under the terms of the Lease Amendment, the Company has two optional rights to each extend the lease for an additional five years. The lease contract provides for a fixed annual rent, with scheduled increases of two percent that occur on each anniversary of the rent commencement date through 2023, and with scheduled increases of three percent that occur on each anniversary of the rent commencement date through 2028. This lease requires the Company to pay all costs of ownership, operation, and maintenance of the premises, including without limitation all operating costs, insurance costs, and taxes.</w:t>
      </w:r>
    </w:p>
    <w:p>
      <w:pPr>
        <w:spacing w:after="0" w:line="16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Company determined that the Lease Amendment was a lease modification, effective June 1, 2021, and thus reassessed the lease classification, remeasured the related lease liability using an updated discount rate, and adjusted the related right-of-use asset under the lease modification guidance under the ASC</w:t>
      </w:r>
    </w:p>
    <w:p>
      <w:pPr>
        <w:ind w:right="60" w:firstLine="8"/>
        <w:spacing w:after="0" w:line="253"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Accordingly, on June 1, 2021, the Company determined that the modified lease be accounted for as an operating lease, and therefore derecognized the previous finance lease right-of-use asset of $24.6 million and the related finance lease liability of $32.6 million, and recognized an operating lease right-of-use asset of $93.2 million and the related operating lease liability of $101.2 million. Starting June 1, 2021, the cash payment related to this lease was classified as an operating activity, the impact of which was approximately $4.5 million to the condensed consolidated statement of cash flow for the nine months ended September 30, 2021.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During the first quarter of 2021, after FibroGen Beijing’s previous long-term lease agreement expired, the Company entered into a new lease agreement with the landlord for the same pilot plant located in Beijing Yizhuang Biomedical Park of BDA. The new lease term is five year, scheduled to expire in 2026, and is treated as an operating lease. Accordingly, the Company recorded $3.4 million in the operating right-of-use assets and total operating lease liabilities, respectively. The lease contract provides for fixed quarterly rent payments, and requires the Company to pay operating and maintenance costs.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Statement of Operations Line Item</w:t>
            </w:r>
          </w:p>
        </w:tc>
        <w:tc>
          <w:tcPr>
            <w:tcW w:w="2440" w:type="dxa"/>
            <w:vAlign w:val="bottom"/>
            <w:gridSpan w:val="9"/>
          </w:tcPr>
          <w:p>
            <w:pPr>
              <w:jc w:val="right"/>
              <w:ind w:right="16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500" w:type="dxa"/>
            <w:vAlign w:val="bottom"/>
            <w:gridSpan w:val="13"/>
          </w:tcPr>
          <w:p>
            <w:pPr>
              <w:jc w:val="right"/>
              <w:ind w:right="24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560" w:type="dxa"/>
            <w:vAlign w:val="bottom"/>
            <w:gridSpan w:val="3"/>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right"/>
              <w:ind w:right="40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34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gridSpan w:val="3"/>
          </w:tcPr>
          <w:p>
            <w:pPr>
              <w:ind w:left="260"/>
              <w:spacing w:after="0"/>
              <w:rPr>
                <w:sz w:val="20"/>
                <w:szCs w:val="20"/>
                <w:color w:val="auto"/>
              </w:rPr>
            </w:pPr>
            <w:r>
              <w:rPr>
                <w:rFonts w:ascii="Arial" w:cs="Arial" w:eastAsia="Arial" w:hAnsi="Arial"/>
                <w:sz w:val="18"/>
                <w:szCs w:val="18"/>
                <w:color w:val="auto"/>
              </w:rPr>
              <w:t>Amortization of</w:t>
            </w:r>
          </w:p>
        </w:tc>
        <w:tc>
          <w:tcPr>
            <w:tcW w:w="356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2,639</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7,886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3"/>
          </w:tcPr>
          <w:p>
            <w:pPr>
              <w:ind w:left="380"/>
              <w:spacing w:after="0"/>
              <w:rPr>
                <w:sz w:val="20"/>
                <w:szCs w:val="20"/>
                <w:color w:val="auto"/>
              </w:rPr>
            </w:pPr>
            <w:r>
              <w:rPr>
                <w:rFonts w:ascii="Arial" w:cs="Arial" w:eastAsia="Arial" w:hAnsi="Arial"/>
                <w:sz w:val="18"/>
                <w:szCs w:val="18"/>
                <w:color w:val="auto"/>
              </w:rPr>
              <w:t>right-of-use assets</w:t>
            </w:r>
          </w:p>
        </w:tc>
        <w:tc>
          <w:tcPr>
            <w:tcW w:w="356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Interest on lease liabilities</w:t>
            </w:r>
          </w:p>
        </w:tc>
        <w:tc>
          <w:tcPr>
            <w:tcW w:w="3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00" w:type="dxa"/>
            <w:vAlign w:val="bottom"/>
            <w:gridSpan w:val="3"/>
          </w:tcPr>
          <w:p>
            <w:pPr>
              <w:spacing w:after="0"/>
              <w:rPr>
                <w:sz w:val="20"/>
                <w:szCs w:val="20"/>
                <w:color w:val="auto"/>
              </w:rPr>
            </w:pPr>
            <w:r>
              <w:rPr>
                <w:rFonts w:ascii="Arial" w:cs="Arial" w:eastAsia="Arial" w:hAnsi="Arial"/>
                <w:sz w:val="18"/>
                <w:szCs w:val="18"/>
                <w:color w:val="auto"/>
              </w:rPr>
              <w:t>Operating lease cost</w:t>
            </w:r>
          </w:p>
        </w:tc>
        <w:tc>
          <w:tcPr>
            <w:tcW w:w="356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356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3"/>
        </w:trPr>
        <w:tc>
          <w:tcPr>
            <w:tcW w:w="2600" w:type="dxa"/>
            <w:vAlign w:val="bottom"/>
            <w:gridSpan w:val="3"/>
          </w:tcPr>
          <w:p>
            <w:pPr>
              <w:ind w:left="140"/>
              <w:spacing w:after="0"/>
              <w:rPr>
                <w:sz w:val="20"/>
                <w:szCs w:val="20"/>
                <w:color w:val="auto"/>
              </w:rPr>
            </w:pPr>
            <w:r>
              <w:rPr>
                <w:rFonts w:ascii="Arial" w:cs="Arial" w:eastAsia="Arial" w:hAnsi="Arial"/>
                <w:sz w:val="18"/>
                <w:szCs w:val="18"/>
                <w:color w:val="auto"/>
              </w:rPr>
              <w:t>Total lease cost</w:t>
            </w:r>
          </w:p>
        </w:tc>
        <w:tc>
          <w:tcPr>
            <w:tcW w:w="3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10,733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gridSpan w:val="6"/>
            <w:vMerge w:val="restart"/>
          </w:tcPr>
          <w:p>
            <w:pPr>
              <w:ind w:left="40"/>
              <w:spacing w:after="0"/>
              <w:rPr>
                <w:sz w:val="20"/>
                <w:szCs w:val="20"/>
                <w:color w:val="auto"/>
              </w:rPr>
            </w:pPr>
            <w:r>
              <w:rPr>
                <w:rFonts w:ascii="Arial" w:cs="Arial" w:eastAsia="Arial" w:hAnsi="Arial"/>
                <w:sz w:val="18"/>
                <w:szCs w:val="18"/>
                <w:color w:val="auto"/>
                <w:w w:val="90"/>
              </w:rPr>
              <w:t>Supplemental cash flow information related to leases were as follows (in thousands):</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6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3"/>
          </w:tcPr>
          <w:p>
            <w:pPr>
              <w:jc w:val="right"/>
              <w:ind w:right="40"/>
              <w:spacing w:after="0"/>
              <w:rPr>
                <w:sz w:val="20"/>
                <w:szCs w:val="20"/>
                <w:color w:val="auto"/>
              </w:rPr>
            </w:pPr>
            <w:r>
              <w:rPr>
                <w:rFonts w:ascii="Arial" w:cs="Arial" w:eastAsia="Arial" w:hAnsi="Arial"/>
                <w:sz w:val="14"/>
                <w:szCs w:val="14"/>
                <w:b w:val="1"/>
                <w:bCs w:val="1"/>
                <w:color w:val="auto"/>
                <w:w w:val="98"/>
              </w:rPr>
              <w:t>Nine Months Ended September 30,</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2"/>
          </w:tcPr>
          <w:p>
            <w:pPr>
              <w:jc w:val="right"/>
              <w:ind w:right="108"/>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58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b w:val="1"/>
                <w:bCs w:val="1"/>
                <w:color w:val="auto"/>
                <w:w w:val="91"/>
              </w:rPr>
              <w:t>Cash paid for amounts included in the measurement of lease liabilities:</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6,090</w:t>
            </w:r>
          </w:p>
        </w:tc>
        <w:tc>
          <w:tcPr>
            <w:tcW w:w="140" w:type="dxa"/>
            <w:vAlign w:val="bottom"/>
          </w:tcPr>
          <w:p>
            <w:pPr>
              <w:spacing w:after="0"/>
              <w:rPr>
                <w:sz w:val="19"/>
                <w:szCs w:val="19"/>
                <w:color w:val="auto"/>
              </w:rPr>
            </w:pPr>
          </w:p>
        </w:tc>
        <w:tc>
          <w:tcPr>
            <w:tcW w:w="7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58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628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1,468</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5,359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9,254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80" w:type="dxa"/>
            <w:vAlign w:val="bottom"/>
            <w:gridSpan w:val="8"/>
            <w:shd w:val="clear" w:color="auto" w:fill="CFF0FC"/>
          </w:tcPr>
          <w:p>
            <w:pPr>
              <w:spacing w:after="0"/>
              <w:rPr>
                <w:sz w:val="20"/>
                <w:szCs w:val="20"/>
                <w:color w:val="auto"/>
              </w:rPr>
            </w:pPr>
            <w:r>
              <w:rPr>
                <w:rFonts w:ascii="Arial" w:cs="Arial" w:eastAsia="Arial" w:hAnsi="Arial"/>
                <w:sz w:val="18"/>
                <w:szCs w:val="18"/>
                <w:b w:val="1"/>
                <w:bCs w:val="1"/>
                <w:color w:val="auto"/>
              </w:rPr>
              <w:t>Non-cash: Right-of-use assets obtained in exchange for new lease liabilities:</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color w:val="auto"/>
              </w:rPr>
              <w:t>Finance leases</w:t>
            </w:r>
          </w:p>
        </w:tc>
        <w:tc>
          <w:tcPr>
            <w:tcW w:w="3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330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0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3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3,509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580" w:type="dxa"/>
            <w:vAlign w:val="bottom"/>
            <w:gridSpan w:val="5"/>
          </w:tcPr>
          <w:p>
            <w:pPr>
              <w:spacing w:after="0"/>
              <w:rPr>
                <w:sz w:val="20"/>
                <w:szCs w:val="20"/>
                <w:color w:val="auto"/>
              </w:rPr>
            </w:pPr>
            <w:r>
              <w:rPr>
                <w:rFonts w:ascii="Arial" w:cs="Arial" w:eastAsia="Arial" w:hAnsi="Arial"/>
                <w:sz w:val="18"/>
                <w:szCs w:val="18"/>
                <w:b w:val="1"/>
                <w:bCs w:val="1"/>
                <w:color w:val="auto"/>
              </w:rPr>
              <w:t>Non-cash: Increase (decrease) resulting from lease modification:</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58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Finance lease right-of-use assets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6"/>
            <w:shd w:val="clear" w:color="auto" w:fill="CFF0FC"/>
          </w:tcPr>
          <w:p>
            <w:pPr>
              <w:jc w:val="right"/>
              <w:ind w:right="80"/>
              <w:spacing w:after="0"/>
              <w:rPr>
                <w:sz w:val="20"/>
                <w:szCs w:val="20"/>
                <w:color w:val="auto"/>
              </w:rPr>
            </w:pPr>
            <w:r>
              <w:rPr>
                <w:rFonts w:ascii="Arial" w:cs="Arial" w:eastAsia="Arial" w:hAnsi="Arial"/>
                <w:sz w:val="18"/>
                <w:szCs w:val="18"/>
                <w:color w:val="auto"/>
              </w:rPr>
              <w:t>(24,654)</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93,222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58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Finance lease liabilities, current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6"/>
            <w:shd w:val="clear" w:color="auto" w:fill="CFF0FC"/>
          </w:tcPr>
          <w:p>
            <w:pPr>
              <w:jc w:val="right"/>
              <w:ind w:right="80"/>
              <w:spacing w:after="0"/>
              <w:rPr>
                <w:sz w:val="20"/>
                <w:szCs w:val="20"/>
                <w:color w:val="auto"/>
              </w:rPr>
            </w:pPr>
            <w:r>
              <w:rPr>
                <w:rFonts w:ascii="Arial" w:cs="Arial" w:eastAsia="Arial" w:hAnsi="Arial"/>
                <w:sz w:val="18"/>
                <w:szCs w:val="18"/>
                <w:color w:val="auto"/>
              </w:rPr>
              <w:t>(12,587)</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Operating lease liabilities, current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9,221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58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Finance lease liabilities, non-current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6"/>
            <w:shd w:val="clear" w:color="auto" w:fill="CFF0FC"/>
          </w:tcPr>
          <w:p>
            <w:pPr>
              <w:jc w:val="right"/>
              <w:ind w:right="80"/>
              <w:spacing w:after="0"/>
              <w:rPr>
                <w:sz w:val="20"/>
                <w:szCs w:val="20"/>
                <w:color w:val="auto"/>
              </w:rPr>
            </w:pPr>
            <w:r>
              <w:rPr>
                <w:rFonts w:ascii="Arial" w:cs="Arial" w:eastAsia="Arial" w:hAnsi="Arial"/>
                <w:sz w:val="18"/>
                <w:szCs w:val="18"/>
                <w:color w:val="auto"/>
              </w:rPr>
              <w:t>(20,009)</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580" w:type="dxa"/>
            <w:vAlign w:val="bottom"/>
            <w:gridSpan w:val="5"/>
          </w:tcPr>
          <w:p>
            <w:pPr>
              <w:ind w:left="12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91,943</w:t>
            </w:r>
          </w:p>
        </w:tc>
        <w:tc>
          <w:tcPr>
            <w:tcW w:w="140" w:type="dxa"/>
            <w:vAlign w:val="bottom"/>
          </w:tcPr>
          <w:p>
            <w:pPr>
              <w:spacing w:after="0"/>
              <w:rPr>
                <w:sz w:val="20"/>
                <w:szCs w:val="20"/>
                <w:color w:val="auto"/>
              </w:rPr>
            </w:pPr>
          </w:p>
        </w:tc>
        <w:tc>
          <w:tcPr>
            <w:tcW w:w="7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6160" w:type="dxa"/>
            <w:vAlign w:val="bottom"/>
            <w:gridSpan w:val="6"/>
          </w:tcPr>
          <w:p>
            <w:pPr>
              <w:ind w:left="40"/>
              <w:spacing w:after="0"/>
              <w:rPr>
                <w:sz w:val="20"/>
                <w:szCs w:val="20"/>
                <w:color w:val="auto"/>
              </w:rPr>
            </w:pPr>
            <w:r>
              <w:rPr>
                <w:rFonts w:ascii="Arial" w:cs="Arial" w:eastAsia="Arial" w:hAnsi="Arial"/>
                <w:sz w:val="18"/>
                <w:szCs w:val="18"/>
                <w:color w:val="auto"/>
              </w:rPr>
              <w:t>Lease term and discount rate were as follows: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September 30, 2021</w:t>
            </w:r>
          </w:p>
        </w:tc>
        <w:tc>
          <w:tcPr>
            <w:tcW w:w="360" w:type="dxa"/>
            <w:vAlign w:val="bottom"/>
          </w:tcPr>
          <w:p>
            <w:pPr>
              <w:spacing w:after="0"/>
              <w:rPr>
                <w:sz w:val="24"/>
                <w:szCs w:val="24"/>
                <w:color w:val="auto"/>
              </w:rPr>
            </w:pPr>
          </w:p>
        </w:tc>
        <w:tc>
          <w:tcPr>
            <w:tcW w:w="184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3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6"/>
              </w:rPr>
              <w:t>Operating leases</w:t>
            </w:r>
          </w:p>
        </w:tc>
        <w:tc>
          <w:tcPr>
            <w:tcW w:w="3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Weighted-average discount rate:</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3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4"/>
            <w:shd w:val="clear" w:color="auto" w:fill="CFF0FC"/>
          </w:tcPr>
          <w:p>
            <w:pPr>
              <w:jc w:val="right"/>
              <w:ind w:right="133"/>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ind w:left="120"/>
              <w:spacing w:after="0"/>
              <w:rPr>
                <w:sz w:val="20"/>
                <w:szCs w:val="20"/>
                <w:color w:val="auto"/>
              </w:rPr>
            </w:pPr>
            <w:r>
              <w:rPr>
                <w:rFonts w:ascii="Arial" w:cs="Arial" w:eastAsia="Arial" w:hAnsi="Arial"/>
                <w:sz w:val="18"/>
                <w:szCs w:val="18"/>
                <w:color w:val="auto"/>
                <w:w w:val="96"/>
              </w:rPr>
              <w:t>Operating leases</w:t>
            </w:r>
          </w:p>
        </w:tc>
        <w:tc>
          <w:tcPr>
            <w:tcW w:w="3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4"/>
          </w:tcPr>
          <w:p>
            <w:pPr>
              <w:jc w:val="right"/>
              <w:ind w:right="133"/>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20" w:type="dxa"/>
            <w:vAlign w:val="bottom"/>
          </w:tcPr>
          <w:p>
            <w:pPr>
              <w:ind w:left="29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September 30, 2021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5620" w:type="dxa"/>
            <w:vAlign w:val="bottom"/>
            <w:gridSpan w:val="2"/>
          </w:tcPr>
          <w:p>
            <w:pPr>
              <w:ind w:left="82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Finance Leases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 (remaining three month period)</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Beyond 2025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future lease payments</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Interest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(19,229)</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56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20" w:type="dxa"/>
            <w:vAlign w:val="bottom"/>
            <w:vMerge w:val="continue"/>
          </w:tcPr>
          <w:p>
            <w:pPr>
              <w:spacing w:after="0"/>
              <w:rPr>
                <w:sz w:val="24"/>
                <w:szCs w:val="24"/>
                <w:color w:val="auto"/>
              </w:rPr>
            </w:pPr>
          </w:p>
        </w:tc>
        <w:tc>
          <w:tcPr>
            <w:tcW w:w="56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40" w:type="dxa"/>
            <w:vAlign w:val="bottom"/>
            <w:gridSpan w:val="3"/>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September 30, 2021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90,899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274,527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September 30, 2021 and December 31, 2020, a total of $77.4 million and $66.0 million, respectively, of the Company’s cash and cash equivalents were held outside of the U.S. in its foreign subsidiaries to be used primarily for its China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investments consist of available-for-sale debt investments and marketable equity investments. The amortized cost, gross unrealized holding gains or losses, and fair value of the Company’s investments by major investments type are summarized in the tables below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Amortized Cost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Holding Gains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Holding Losses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127,005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95,402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bonds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73,119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Agency bonds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27,261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Foreign government bonds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354,431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Amortized Cost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Holding Gains</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Holding Losses</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investments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September 30, 2021, the available-for-sale investments had contractual maturities range from several months to two years. During the three and nine months ended September 30, 2021 and 2020, the Company did not recognize any other-than-temporary impairment loss.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Work-in-progress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20,662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8,114</w:t>
            </w:r>
          </w:p>
        </w:tc>
        <w:tc>
          <w:tcPr>
            <w:tcW w:w="8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80" w:type="dxa"/>
            <w:vAlign w:val="bottom"/>
            <w:shd w:val="clear" w:color="auto" w:fill="CFF0FC"/>
          </w:tcPr>
          <w:p>
            <w:pPr>
              <w:spacing w:after="0"/>
              <w:rPr>
                <w:sz w:val="19"/>
                <w:szCs w:val="19"/>
                <w:color w:val="auto"/>
              </w:rPr>
            </w:pPr>
          </w:p>
        </w:tc>
      </w:tr>
      <w:tr>
        <w:trPr>
          <w:trHeight w:val="223"/>
        </w:trPr>
        <w:tc>
          <w:tcPr>
            <w:tcW w:w="522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16,530</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capitalizes inventory costs for FibroGen Beijing’s production of roxadustat for commercial sales purposes. The Company started capitalizing inventory costs in the U.S. in the second quarter of 2020 prior to regulatory approvals in the U.S., Europe and other territories. As of September 30, 2021 and December 31, 2020, inventory capitalized in the U.S. was 40% and 29% of the total inventory balance, respectively, which will be used for commercial launches in Europe and other territories where the Company has received regulatory approvals. The provision to write-down excess and obsolete inventory was immaterial for three and nine months ended September 30, 2021 and 2020.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September 30,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2020</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Unbilled contract assets</w:t>
            </w:r>
          </w:p>
        </w:tc>
        <w:tc>
          <w:tcPr>
            <w:tcW w:w="8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ind w:left="120"/>
              <w:spacing w:after="0"/>
              <w:rPr>
                <w:sz w:val="20"/>
                <w:szCs w:val="20"/>
                <w:color w:val="auto"/>
              </w:rPr>
            </w:pPr>
            <w:r>
              <w:rPr>
                <w:rFonts w:ascii="Arial" w:cs="Arial" w:eastAsia="Arial" w:hAnsi="Arial"/>
                <w:sz w:val="18"/>
                <w:szCs w:val="18"/>
                <w:color w:val="auto"/>
              </w:rPr>
              <w:t>Deferred revenues from associated contracts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(7,003)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(2,147)</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unbilled contract assets</w:t>
            </w:r>
          </w:p>
        </w:tc>
        <w:tc>
          <w:tcPr>
            <w:tcW w:w="8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Prepaid assets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6,598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8,353</w:t>
            </w:r>
          </w:p>
        </w:tc>
        <w:tc>
          <w:tcPr>
            <w:tcW w:w="80" w:type="dxa"/>
            <w:vAlign w:val="bottom"/>
          </w:tcPr>
          <w:p>
            <w:pPr>
              <w:spacing w:after="0"/>
              <w:rPr>
                <w:sz w:val="19"/>
                <w:szCs w:val="19"/>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8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80" w:type="dxa"/>
            <w:vAlign w:val="bottom"/>
            <w:shd w:val="clear" w:color="auto" w:fill="CFF0FC"/>
          </w:tcPr>
          <w:p>
            <w:pPr>
              <w:spacing w:after="0"/>
              <w:rPr>
                <w:sz w:val="19"/>
                <w:szCs w:val="19"/>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8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10,160</w:t>
            </w:r>
          </w:p>
        </w:tc>
        <w:tc>
          <w:tcPr>
            <w:tcW w:w="8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unbilled contract assets as of September 30, 2021 included the $8.0 million unbilled upfront license payment under the Eluminex Agreement, and $7.0 million related to unbilled co-development revenue under the China Amendment with AstraZeneca. The unbilled contract assets as of December 31, 2020 were related to unbilled co-development revenue under the China Amendment with AstraZeneca. See Note 2, </w:t>
      </w:r>
      <w:r>
        <w:rPr>
          <w:rFonts w:ascii="Arial" w:cs="Arial" w:eastAsia="Arial" w:hAnsi="Arial"/>
          <w:sz w:val="18"/>
          <w:szCs w:val="18"/>
          <w:i w:val="1"/>
          <w:iCs w:val="1"/>
          <w:color w:val="auto"/>
        </w:rPr>
        <w:t>Collaboration Agreements,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and Revenues</w:t>
      </w:r>
      <w:r>
        <w:rPr>
          <w:rFonts w:ascii="Arial" w:cs="Arial" w:eastAsia="Arial" w:hAnsi="Arial"/>
          <w:sz w:val="18"/>
          <w:szCs w:val="18"/>
          <w:color w:val="auto"/>
        </w:rPr>
        <w:t>, for details.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September 30, 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2020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9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102,843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102,006</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Laboratory equipment</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18,809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18,143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Machinery</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Computer equipment</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9,545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9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9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144,894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(118,191)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(111,247)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00" w:type="dxa"/>
            <w:vAlign w:val="bottom"/>
            <w:vMerge w:val="restart"/>
          </w:tcPr>
          <w:p>
            <w:pPr>
              <w:jc w:val="right"/>
              <w:ind w:right="610"/>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September 30, 2021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64,212</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44,113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20,121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22,800</w:t>
            </w:r>
          </w:p>
        </w:tc>
        <w:tc>
          <w:tcPr>
            <w:tcW w:w="8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 to pharmaceutical distributors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15,137</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Accrued co-promotion expenses - current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27,071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11,537</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Roxadustat profit share to AstraZeneca</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7,007</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Property taxes and other taxes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11,532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5,970</w:t>
            </w:r>
          </w:p>
        </w:tc>
        <w:tc>
          <w:tcPr>
            <w:tcW w:w="8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80" w:type="dxa"/>
            <w:vAlign w:val="bottom"/>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8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151,346</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118,333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profit share liability to AstraZeneca as of September 30, 2021 and December 31, 2020 was $7.8 million and $7.0 million, respectively, which represented the profit/loss share between FibroGen Beijing and AstraZeneca that was calculated for the interim period pursuant to the China Amendment. This liability correspondingly reduced the deferred revenue related to the performance obligation in accordance with the China Amendment.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long-term co-promotion expenses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Other long-term tax liabilities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8,675</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2,690</w:t>
            </w:r>
          </w:p>
        </w:tc>
        <w:tc>
          <w:tcPr>
            <w:tcW w:w="80" w:type="dxa"/>
            <w:vAlign w:val="bottom"/>
            <w:shd w:val="clear" w:color="auto" w:fill="CFF0FC"/>
          </w:tcPr>
          <w:p>
            <w:pPr>
              <w:spacing w:after="0"/>
              <w:rPr>
                <w:sz w:val="19"/>
                <w:szCs w:val="19"/>
                <w:color w:val="auto"/>
              </w:rPr>
            </w:pP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color w:val="auto"/>
              </w:rPr>
              <w:t>Total other long-term liabilities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38,789</w:t>
            </w: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Stock-based compensation expense was recorded directly to research and development and selling, general and administrative expense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352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22,966</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19,798</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5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8"/>
              </w:rPr>
              <w:t>Total stock-based compensation expense</w:t>
            </w:r>
          </w:p>
        </w:tc>
        <w:tc>
          <w:tcPr>
            <w:tcW w:w="3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15,704</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17,891</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54,089</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52,451</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assumptions used to estimate the fair value of stock options granted and purchases under the Company’s 2014 Employee Share Purchase Plan (“ESPP”) using the Black-Scholes option valuation model were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5"/>
              </w:rPr>
              <w:t>Three Months Ended September 30,</w:t>
            </w: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7"/>
              </w:rPr>
              <w:t>Nine Months Ended September 30,</w:t>
            </w:r>
          </w:p>
        </w:tc>
        <w:tc>
          <w:tcPr>
            <w:tcW w:w="340" w:type="dxa"/>
            <w:vAlign w:val="bottom"/>
          </w:tcPr>
          <w:p>
            <w:pPr>
              <w:spacing w:after="0"/>
              <w:rPr>
                <w:sz w:val="14"/>
                <w:szCs w:val="14"/>
                <w:color w:val="auto"/>
              </w:rPr>
            </w:pPr>
          </w:p>
        </w:tc>
      </w:tr>
      <w:tr>
        <w:trPr>
          <w:trHeight w:val="155"/>
        </w:trPr>
        <w:tc>
          <w:tcPr>
            <w:tcW w:w="326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3"/>
                <w:szCs w:val="13"/>
                <w:color w:val="auto"/>
              </w:rPr>
            </w:pP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11.08</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22.48</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21.45</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18.11</w:t>
            </w:r>
          </w:p>
        </w:tc>
        <w:tc>
          <w:tcPr>
            <w:tcW w:w="340" w:type="dxa"/>
            <w:vAlign w:val="bottom"/>
          </w:tcPr>
          <w:p>
            <w:pPr>
              <w:spacing w:after="0"/>
              <w:rPr>
                <w:sz w:val="20"/>
                <w:szCs w:val="20"/>
                <w:color w:val="auto"/>
              </w:rPr>
            </w:pPr>
          </w:p>
        </w:tc>
      </w:tr>
      <w:tr>
        <w:trPr>
          <w:trHeight w:val="229"/>
        </w:trPr>
        <w:tc>
          <w:tcPr>
            <w:tcW w:w="3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0.5 - 2.0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0.5 - 2.0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0.5 - 2.0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0.5 - 2.0</w:t>
            </w:r>
          </w:p>
        </w:tc>
        <w:tc>
          <w:tcPr>
            <w:tcW w:w="340" w:type="dxa"/>
            <w:vAlign w:val="bottom"/>
          </w:tcPr>
          <w:p>
            <w:pPr>
              <w:spacing w:after="0"/>
              <w:rPr>
                <w:sz w:val="19"/>
                <w:szCs w:val="19"/>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50.6 - 104.4 %</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50.4 - 77.1 %</w:t>
            </w: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47.1 - 104.4 %</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49.5 - 77.1 %</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0.0 - 1.6 %</w:t>
            </w:r>
          </w:p>
        </w:tc>
        <w:tc>
          <w:tcPr>
            <w:tcW w:w="260" w:type="dxa"/>
            <w:vAlign w:val="bottom"/>
          </w:tcPr>
          <w:p>
            <w:pPr>
              <w:spacing w:after="0"/>
              <w:rPr>
                <w:sz w:val="19"/>
                <w:szCs w:val="19"/>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0.2 - 2.9 %</w:t>
            </w:r>
          </w:p>
        </w:tc>
        <w:tc>
          <w:tcPr>
            <w:tcW w:w="20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0.0 - 2.2 %</w:t>
            </w: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0.2 - 2.9 %</w:t>
            </w: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12.37</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17.00</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17.74</w:t>
            </w:r>
          </w:p>
        </w:tc>
        <w:tc>
          <w:tcPr>
            <w:tcW w:w="340" w:type="dxa"/>
            <w:vAlign w:val="bottom"/>
          </w:tcPr>
          <w:p>
            <w:pPr>
              <w:spacing w:after="0"/>
              <w:rPr>
                <w:sz w:val="20"/>
                <w:szCs w:val="20"/>
                <w:color w:val="auto"/>
              </w:rPr>
            </w:pPr>
          </w:p>
        </w:tc>
      </w:tr>
    </w:tbl>
    <w:p>
      <w:pPr>
        <w:spacing w:after="0" w:line="345"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Provision for (benefit from) income tax for the three and nine months ended September 30, 2021 and 2020 were primarily due to foreign taxes.</w:t>
      </w:r>
    </w:p>
    <w:p>
      <w:pPr>
        <w:spacing w:after="0" w:line="23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spacing w:after="0" w:line="328"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Astellas is an equity investor in the Company and is considered a related party. The Company recorded revenue related to collaboration agreements with Astellas of $122.6 million and $4.7 million for the three months ended September 30, 2021 and 2020, and $128.8 million and $14.2 million for the nine months ended September 30, 2021 and 2020, respectively. The Company also recorded drug product revenue from Astellas of $2.1 million and $4.3 million for the nine months ended September 30, 2021 and 2020, respectively. See Note 2,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for details.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expense related to collaboration agreements with Astellas was immaterial for each of the three and nine months ended September 30, 2021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accounts receivable from Astellas were $2.4 million and $4.1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total deferred revenue from Astellas was $19.7 million and $7.5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amount due to Astellas was immaterial. As of December 31, 2020, amount due to Astellas was $1.1 million.</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 xml:space="preserve">Falikang, an entity jointly owned by FibroGen Beijing and AstraZeneca is an unconsolidated VIE accounted for as an equity method investment, and considered as a related party to the Company. FibroGen Beijing owns 51.1% of Falikang’s equity. See Note 3, </w:t>
      </w:r>
      <w:r>
        <w:rPr>
          <w:rFonts w:ascii="Arial" w:cs="Arial" w:eastAsia="Arial" w:hAnsi="Arial"/>
          <w:sz w:val="16"/>
          <w:szCs w:val="16"/>
          <w:i w:val="1"/>
          <w:iCs w:val="1"/>
          <w:color w:val="auto"/>
        </w:rPr>
        <w:t>Variable Interest Entity</w:t>
      </w:r>
      <w:r>
        <w:rPr>
          <w:rFonts w:ascii="Arial" w:cs="Arial" w:eastAsia="Arial" w:hAnsi="Arial"/>
          <w:sz w:val="16"/>
          <w:szCs w:val="16"/>
          <w:color w:val="auto"/>
        </w:rPr>
        <w:t>, for details.</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For the three and nine months ended September 30, 2021, the net product revenue from Falikang was $10.3 million and $32.5 million, respectively. See Note 2,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for details.</w:t>
      </w:r>
    </w:p>
    <w:p>
      <w:pPr>
        <w:spacing w:after="0" w:line="17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 xml:space="preserve">For the three and nine months ended September 30, 2021, the investment income in Falikang was $0.3 million and $0.7 million, respectively. The investment loss in Falikang for the three and nine months ended September 30, 2020 was immaterial. As of September 30, 2021 and December 31, 2020, the Company’s equity method investment in Falikang was $3.4 million and $2.7 million, respectively. See Note 3, </w:t>
      </w:r>
      <w:r>
        <w:rPr>
          <w:rFonts w:ascii="Arial" w:cs="Arial" w:eastAsia="Arial" w:hAnsi="Arial"/>
          <w:sz w:val="16"/>
          <w:szCs w:val="16"/>
          <w:i w:val="1"/>
          <w:iCs w:val="1"/>
          <w:color w:val="auto"/>
        </w:rPr>
        <w:t>Variable Interest Entity</w:t>
      </w:r>
      <w:r>
        <w:rPr>
          <w:rFonts w:ascii="Arial" w:cs="Arial" w:eastAsia="Arial" w:hAnsi="Arial"/>
          <w:sz w:val="16"/>
          <w:szCs w:val="16"/>
          <w:color w:val="auto"/>
        </w:rPr>
        <w:t>, for details.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accounts receivable, net, from Falikang was of $20.7 million.</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September 30, 2021, there was no miscellaneous receivables from Falikang. As of December 31, 2020, prepaid expenses and other current assets included miscellaneous receivables from Falikang of $0.9 million.</w:t>
      </w:r>
    </w:p>
    <w:p>
      <w:pPr>
        <w:spacing w:after="0" w:line="274" w:lineRule="exact"/>
        <w:rPr>
          <w:sz w:val="20"/>
          <w:szCs w:val="20"/>
          <w:color w:val="auto"/>
        </w:rPr>
      </w:pPr>
    </w:p>
    <w:p>
      <w:pPr>
        <w:ind w:left="880" w:hanging="872"/>
        <w:spacing w:after="0"/>
        <w:tabs>
          <w:tab w:leader="none" w:pos="8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Obligations</w:t>
      </w:r>
    </w:p>
    <w:p>
      <w:pPr>
        <w:spacing w:after="0" w:line="117"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As of September 30, 2021, the Company had outstanding total non-cancelable purchase obligations of $77.4 million, including $22.0 million for manufacture and supply of roxadustat, $46.5 million for manufacture and supply of pamrevlumab, and $8.9 million for other purchases. The Company expects to fulfill its commitments under these agreements in the normal course of business, and as such, no liability has been recorded.</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Some of the Company’s license agreements provide for periodic maintenance fees over specified time periods, as well as payments by the Company upon the achievement of development, regulatory and commercial milestones. As of September 30, 2021, future milestone payments for research and pre-clinical stage development programs consisted of up to approximately $359.1 million in total potential future milestone payments under the Company’s license agreements with HiFiBiO (for Galectin-9),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did not have material accruals for any currently active legal action in its condensed consolidated balance sheets as of September 30, 2021, as it could not predict the ultimate outcome of these matters, or reasonably estimate the potential exposure.</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April 2021, three putative securities class action complaints were filed against FibroGen and certain of its current and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FDA approval between November 2019 and December 2020. Plaintiffs seek to represent a class of persons or entities that purchased FibroGen securities between November 8, 2019 and April 6, 2021. In May 2021, two additional putative securities class action complaints were filed against Defendants alleging the same claims. One of the lawsuits alleges that Defendants made materially false and misleading statements between October 2017 and December 2020 and seeks to represent a class of persons or entities that purchased FibroGen securities between October 18, 2017 and April 6, 2021. The other lawsuit alleges that Defendants made materially false and misleading statements between December 2018 and February 2020 and seeks to represent a class of persons or entities that purchased FibroGen securities between December 20, 2018 and April 6, 2021. All plaintiffs seek unspecified monetary damages and other relief. On August 30, 2021, the Court consolidated the actions and appointed a lead plaintiff. Plaintiff filed its consolidated amended complaint on October 29, 2021. Defendants’ motion to dismiss the consolidated amended complaint is due December 20, 2021.</w:t>
      </w:r>
    </w:p>
    <w:p>
      <w:pPr>
        <w:spacing w:after="0" w:line="172"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On July 30, 2021, a purported shareholder derivative complaint was filed in the U.S. District Court for the Northern District of California. The complaint names as defendants ten of the Company’s officers and directors, as well as the Company as nominal defendant, and asserts state and federal claims based on some of the same alleged misstatements as the securities class action complaints. The complaint seeks unspecified damages, attorneys’ fees, and other costs. The parties have agreed to stay the action pending resolution of a forthcoming motion to dismiss the securities class action.</w:t>
      </w:r>
    </w:p>
    <w:p>
      <w:pPr>
        <w:spacing w:after="0" w:line="15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believes that the claims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2020 filed with the SEC on March 1, 2021 (“2020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We are headquartered in San Francisco, California, with subsidiary offices in Beijing and Shanghai, People’s Republic of China (“China”). We are a leading biopharmaceutical company developing and commercializing a pipeline of first-in-class therapeutics to advance innovative medicines for the treatment of anemia, fibrotic disease, and cancer.</w:t>
      </w:r>
    </w:p>
    <w:p>
      <w:pPr>
        <w:spacing w:after="0" w:line="184" w:lineRule="exact"/>
        <w:rPr>
          <w:sz w:val="20"/>
          <w:szCs w:val="20"/>
          <w:color w:val="auto"/>
        </w:rPr>
      </w:pPr>
    </w:p>
    <w:p>
      <w:pPr>
        <w:ind w:right="20"/>
        <w:spacing w:after="0" w:line="262" w:lineRule="exact"/>
        <w:rPr>
          <w:sz w:val="20"/>
          <w:szCs w:val="20"/>
          <w:color w:val="auto"/>
        </w:rPr>
      </w:pPr>
      <w:r>
        <w:rPr>
          <w:rFonts w:ascii="Arial" w:cs="Arial" w:eastAsia="Arial" w:hAnsi="Arial"/>
          <w:sz w:val="18"/>
          <w:szCs w:val="18"/>
          <w:color w:val="auto"/>
        </w:rPr>
        <w:t>Roxadustat, FibroGen’s most advanced product, is an oral small molecule inhibitor of hypoxia-inducible factor prolyl hydroxylase (“HIF-PH”) activity that is approved in the European Union, Great Britain, Japan, South Korea, and Chile for the treatment of anemia caused by chronic kidney disease (“CKD”) in dialysis and non-dialysis patients, under the tradename EVRENZO</w:t>
      </w:r>
      <w:r>
        <w:rPr>
          <w:rFonts w:ascii="Arial" w:cs="Arial" w:eastAsia="Arial" w:hAnsi="Arial"/>
          <w:sz w:val="15"/>
          <w:szCs w:val="15"/>
          <w:color w:val="auto"/>
        </w:rPr>
        <w:t>®</w:t>
      </w:r>
      <w:r>
        <w:rPr>
          <w:rFonts w:ascii="Arial" w:cs="Arial" w:eastAsia="Arial" w:hAnsi="Arial"/>
          <w:sz w:val="18"/>
          <w:szCs w:val="18"/>
          <w:color w:val="auto"/>
        </w:rPr>
        <w:t xml:space="preserve">. Roxadustat is also being commercialized in China for CKD anemia in dialysis and non-dialysis patients under the tradename: </w:t>
      </w:r>
      <w:r>
        <w:rPr>
          <w:rFonts w:ascii="SimSun" w:cs="SimSun" w:eastAsia="SimSun" w:hAnsi="SimSun"/>
          <w:sz w:val="18"/>
          <w:szCs w:val="18"/>
          <w:color w:val="auto"/>
        </w:rPr>
        <w:t>爱瑞卓</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Roxadustat is in Phase 3 clinical development for anemia associated with myelodysplastic syndromes (“MDS”) and Phase 2 clinical development for chemotherapy-induced anemia.</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Pamrevlumab, a human monoclonal antibody targeting connective tissue growth factor (“CTGF”), is in Phase 3 clinical development for the treatment of idiopathic pulmonary fibrosis (“IPF”), pancreatic cancer and Duchenne muscular dystrophy (“DMD”).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420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69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156"/>
        </w:trPr>
        <w:tc>
          <w:tcPr>
            <w:tcW w:w="4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60" w:type="dxa"/>
            <w:vAlign w:val="bottom"/>
            <w:gridSpan w:val="5"/>
          </w:tcPr>
          <w:p>
            <w:pPr>
              <w:jc w:val="right"/>
              <w:ind w:right="516"/>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Revenue</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155,973</w:t>
            </w:r>
          </w:p>
        </w:tc>
        <w:tc>
          <w:tcPr>
            <w:tcW w:w="1140" w:type="dxa"/>
            <w:vAlign w:val="bottom"/>
          </w:tcPr>
          <w:p>
            <w:pPr>
              <w:jc w:val="right"/>
              <w:ind w:right="83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44,032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6"/>
              <w:spacing w:after="0"/>
              <w:rPr>
                <w:sz w:val="20"/>
                <w:szCs w:val="20"/>
                <w:color w:val="auto"/>
              </w:rPr>
            </w:pPr>
            <w:r>
              <w:rPr>
                <w:rFonts w:ascii="Arial" w:cs="Arial" w:eastAsia="Arial" w:hAnsi="Arial"/>
                <w:sz w:val="18"/>
                <w:szCs w:val="18"/>
                <w:color w:val="auto"/>
              </w:rPr>
              <w:t>218,766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111,320</w:t>
            </w:r>
          </w:p>
        </w:tc>
        <w:tc>
          <w:tcPr>
            <w:tcW w:w="10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2"/>
              </w:rPr>
              <w:t>104,999</w:t>
            </w:r>
          </w:p>
        </w:tc>
        <w:tc>
          <w:tcPr>
            <w:tcW w:w="1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11,702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372,055</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245,202</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9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49,798</w:t>
            </w:r>
          </w:p>
        </w:tc>
        <w:tc>
          <w:tcPr>
            <w:tcW w:w="1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33,004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(155,945)</w:t>
            </w:r>
          </w:p>
        </w:tc>
        <w:tc>
          <w:tcPr>
            <w:tcW w:w="20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(130,657)</w:t>
            </w: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0.54</w:t>
            </w:r>
          </w:p>
        </w:tc>
        <w:tc>
          <w:tcPr>
            <w:tcW w:w="1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0.54</w:t>
            </w:r>
          </w:p>
        </w:tc>
        <w:tc>
          <w:tcPr>
            <w:tcW w:w="1140" w:type="dxa"/>
            <w:vAlign w:val="bottom"/>
          </w:tcPr>
          <w:p>
            <w:pPr>
              <w:jc w:val="right"/>
              <w:ind w:right="83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0.35</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688"/>
        </w:trPr>
        <w:tc>
          <w:tcPr>
            <w:tcW w:w="4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ind w:right="236"/>
              <w:spacing w:after="0"/>
              <w:rPr>
                <w:sz w:val="20"/>
                <w:szCs w:val="20"/>
                <w:color w:val="auto"/>
              </w:rPr>
            </w:pPr>
            <w:r>
              <w:rPr>
                <w:rFonts w:ascii="Arial" w:cs="Arial" w:eastAsia="Arial" w:hAnsi="Arial"/>
                <w:sz w:val="14"/>
                <w:szCs w:val="14"/>
                <w:b w:val="1"/>
                <w:bCs w:val="1"/>
                <w:color w:val="auto"/>
                <w:w w:val="93"/>
              </w:rPr>
              <w:t>September 30, 2021</w:t>
            </w:r>
          </w:p>
        </w:tc>
        <w:tc>
          <w:tcPr>
            <w:tcW w:w="20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156"/>
        </w:trPr>
        <w:tc>
          <w:tcPr>
            <w:tcW w:w="4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gridSpan w:val="3"/>
          </w:tcPr>
          <w:p>
            <w:pPr>
              <w:jc w:val="right"/>
              <w:ind w:right="1154"/>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6"/>
              <w:spacing w:after="0"/>
              <w:rPr>
                <w:sz w:val="20"/>
                <w:szCs w:val="20"/>
                <w:color w:val="auto"/>
              </w:rPr>
            </w:pPr>
            <w:r>
              <w:rPr>
                <w:rFonts w:ascii="Arial" w:cs="Arial" w:eastAsia="Arial" w:hAnsi="Arial"/>
                <w:sz w:val="18"/>
                <w:szCs w:val="18"/>
                <w:color w:val="auto"/>
              </w:rPr>
              <w:t>274,527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678,393</w:t>
            </w:r>
          </w:p>
        </w:tc>
        <w:tc>
          <w:tcPr>
            <w:tcW w:w="10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9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354,511</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6"/>
              <w:spacing w:after="0"/>
              <w:rPr>
                <w:sz w:val="20"/>
                <w:szCs w:val="20"/>
                <w:color w:val="auto"/>
              </w:rPr>
            </w:pPr>
            <w:r>
              <w:rPr>
                <w:rFonts w:ascii="Arial" w:cs="Arial" w:eastAsia="Arial" w:hAnsi="Arial"/>
                <w:sz w:val="18"/>
                <w:szCs w:val="18"/>
                <w:color w:val="auto"/>
              </w:rPr>
              <w:t>35,994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41,883</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revenue for the three and nine months ended September 30, 2021 included the revenue recognized related to the following:</w:t>
      </w:r>
    </w:p>
    <w:p>
      <w:pPr>
        <w:spacing w:after="0" w:line="117" w:lineRule="exact"/>
        <w:rPr>
          <w:sz w:val="20"/>
          <w:szCs w:val="20"/>
          <w:color w:val="auto"/>
        </w:rPr>
      </w:pPr>
    </w:p>
    <w:p>
      <w:pPr>
        <w:ind w:left="500" w:right="140" w:hanging="492"/>
        <w:spacing w:after="0" w:line="259"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$120.0 million regulatory milestones recognized under our collaboration agreements with our partners Astellas Pharma Inc. (“Astellas”) associated with the approval by European Commission of EVRENZO</w:t>
      </w:r>
      <w:r>
        <w:rPr>
          <w:rFonts w:ascii="Arial" w:cs="Arial" w:eastAsia="Arial" w:hAnsi="Arial"/>
          <w:sz w:val="15"/>
          <w:szCs w:val="15"/>
          <w:color w:val="auto"/>
        </w:rPr>
        <w:t>®</w:t>
      </w:r>
      <w:r>
        <w:rPr>
          <w:rFonts w:ascii="Arial" w:cs="Arial" w:eastAsia="Arial" w:hAnsi="Arial"/>
          <w:sz w:val="18"/>
          <w:szCs w:val="18"/>
          <w:color w:val="auto"/>
        </w:rPr>
        <w:t xml:space="preserve"> (roxadustat) for the treatment of adult patients with symptomatic anemia associated with CKD during the third quarter of 2021. Of this amount, $108.4 was recognized as license revenue and the remainder included as development revenue;</w:t>
      </w:r>
    </w:p>
    <w:p>
      <w:pPr>
        <w:spacing w:after="0" w:line="78" w:lineRule="exact"/>
        <w:rPr>
          <w:rFonts w:ascii="Arial" w:cs="Arial" w:eastAsia="Arial" w:hAnsi="Arial"/>
          <w:sz w:val="18"/>
          <w:szCs w:val="18"/>
          <w:color w:val="auto"/>
        </w:rPr>
      </w:pPr>
    </w:p>
    <w:p>
      <w:pPr>
        <w:ind w:left="500" w:right="6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$26.1 million and $60.3 million of development revenue recognized under our collaboration agreements with our partners Astellas and AstraZeneca AB (“AstraZeneca”);</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$13.4 million and $42.2 million of net product revenue from roxadustat commercial sales in China;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$8.0 million upfront license payment recognized under our license agreement with Eluminex Biosciences (Suzhou) Limited (“Eluminex”).</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As a comparison, our revenue for the three and nine months ended September 30, 2020 included the revenue recognized related to the following:</w:t>
      </w:r>
    </w:p>
    <w:p>
      <w:pPr>
        <w:spacing w:after="0" w:line="129"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$20.7 million and $59.1 million of development revenue recognized under our collaboration agreements with our partners Astellas and AstraZeneca;</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$22.7 million and $43.3 million of net product revenue from roxadustat commercial sales in China; and</w:t>
      </w:r>
    </w:p>
    <w:p>
      <w:pPr>
        <w:spacing w:after="0" w:line="117" w:lineRule="exact"/>
        <w:rPr>
          <w:rFonts w:ascii="Arial" w:cs="Arial" w:eastAsia="Arial" w:hAnsi="Arial"/>
          <w:sz w:val="18"/>
          <w:szCs w:val="18"/>
          <w:color w:val="auto"/>
        </w:rPr>
      </w:pPr>
    </w:p>
    <w:p>
      <w:pPr>
        <w:ind w:left="500" w:right="46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$0.7 million and $8.9 million of drug product revenue related to roxadustat bulk drug or active pharmaceutical ingredient (“API”) deliveries to AstraZeneca and Astellas.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costs and expenses for the three and nine months ended September 30, 2021 increased compared to the same periods a year ago as a result of the net effect of the following:</w:t>
      </w:r>
    </w:p>
    <w:p>
      <w:pPr>
        <w:spacing w:after="0" w:line="62" w:lineRule="exact"/>
        <w:rPr>
          <w:sz w:val="20"/>
          <w:szCs w:val="20"/>
          <w:color w:val="auto"/>
        </w:rPr>
      </w:pPr>
    </w:p>
    <w:p>
      <w:pPr>
        <w:ind w:left="500" w:right="40" w:hanging="492"/>
        <w:spacing w:after="0" w:line="272"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Higher sales and marketing expenses due to a reversal in the prior year periods based on a change in the calculation method of co-promotion expenses with AstraZeneca as a result of the China Amendment between FibroGen China and AstraZeneca entered in the third quarter of 2020. This impact was partially offset by the decrease due to the transition that substantially all direct product sales to distributors were made by Beijing Falikang Pharmaceutical Co., Ltd. (“Falikang”) since Falikang became fully operational in January 2021, while FibroGen (China) Medical Technology Development Co., Ltd. (“FibroGen Beijing”) continued to sell product directly in a few provinces in China. AstraZeneca now bills the co-promotion expenses to Falikang and to FibroGen Beijing respectively. All defined terms referenced in this paragraph that are not already defined, are defined below in </w:t>
      </w:r>
      <w:r>
        <w:rPr>
          <w:rFonts w:ascii="Arial" w:cs="Arial" w:eastAsia="Arial" w:hAnsi="Arial"/>
          <w:sz w:val="17"/>
          <w:szCs w:val="17"/>
          <w:i w:val="1"/>
          <w:iCs w:val="1"/>
          <w:color w:val="auto"/>
        </w:rPr>
        <w:t>Collaboration Partnerships for Roxadustat</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clinical trial expenses associated with Phase 3 trials for pamrevlumab and roxadustat post-approval safety studies;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Higher drug development expenses associated with drug substance and drug product manufacturing activities primarily related to pamrevlumab; and</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legal expenses primarily associated with patent-related activities in the United Kingdom.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Operating costs and expenses for the nine months ended September 30, 2021 also included an expense of $25.0 million for acquired in-process research and development asset from HiFiBiO Therapeutics (“HiFiBiO”).</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Following the complete response letter (“CRL”) for roxadustat in the U.S., we are implementing a cost reduction effort, and as a result, operating expenses may decrease in certain areas in the near future.</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the three months ended September 30, 2021, we had net income of $49.8 million or net income per basic and diluted share of $0.54, as compared to a net income of $33.0 million for the same period a year ago, due to increases in revenue, partially offset by increases in operating costs and expenses as discussed above. For the nine months ended September 30, 2021, we had net loss of $155.9 million or net loss per basic and diluted share of $1.69, as compared to a net loss of $130.7 million for the same period a year ago, due to increases in operating costs and expenses, partially offset by increases in revenue as discussed above.</w:t>
      </w:r>
    </w:p>
    <w:p>
      <w:pPr>
        <w:spacing w:after="0" w:line="18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Cash and cash equivalents, investments and accounts receivable totaled $665.0 million at September 30, 2021, a decrease of $63.7 million from December 31, 2020, primarily due to the cash used in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Development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Roxadustat is our most advanced product, an oral small molecule inhibitor of HIF-PH activity that acts by stimulating the body’s natural pathway of erythropoiesis, or red blood cell production.</w:t>
      </w:r>
    </w:p>
    <w:p>
      <w:pPr>
        <w:spacing w:after="0" w:line="171" w:lineRule="exact"/>
        <w:rPr>
          <w:sz w:val="20"/>
          <w:szCs w:val="20"/>
          <w:color w:val="auto"/>
        </w:rPr>
      </w:pPr>
    </w:p>
    <w:p>
      <w:pPr>
        <w:jc w:val="both"/>
        <w:ind w:right="20"/>
        <w:spacing w:after="0" w:line="229" w:lineRule="exact"/>
        <w:rPr>
          <w:sz w:val="20"/>
          <w:szCs w:val="20"/>
          <w:color w:val="auto"/>
        </w:rPr>
      </w:pPr>
      <w:r>
        <w:rPr>
          <w:rFonts w:ascii="Arial" w:cs="Arial" w:eastAsia="Arial" w:hAnsi="Arial"/>
          <w:sz w:val="16"/>
          <w:szCs w:val="16"/>
          <w:color w:val="auto"/>
        </w:rPr>
        <w:t xml:space="preserve">Our collaboration partner AstraZeneca and we continue to expand the commercialization of roxadustat (tradename: </w:t>
      </w:r>
      <w:r>
        <w:rPr>
          <w:rFonts w:ascii="SimSun" w:cs="SimSun" w:eastAsia="SimSun" w:hAnsi="SimSun"/>
          <w:sz w:val="16"/>
          <w:szCs w:val="16"/>
          <w:color w:val="auto"/>
        </w:rPr>
        <w:t>爱瑞卓</w:t>
      </w:r>
      <w:r>
        <w:rPr>
          <w:rFonts w:ascii="Arial" w:cs="Arial" w:eastAsia="Arial" w:hAnsi="Arial"/>
          <w:sz w:val="26"/>
          <w:szCs w:val="26"/>
          <w:color w:val="auto"/>
          <w:vertAlign w:val="superscript"/>
        </w:rPr>
        <w:t>®</w:t>
      </w:r>
      <w:r>
        <w:rPr>
          <w:rFonts w:ascii="Arial" w:cs="Arial" w:eastAsia="Arial" w:hAnsi="Arial"/>
          <w:sz w:val="16"/>
          <w:szCs w:val="16"/>
          <w:color w:val="auto"/>
        </w:rPr>
        <w:t>) in China where it is approved for the treatment of anemia caused by CKD in non-dialysis and dialysis patients. As of October 2021, roxadustat had a 33% value share within the segment of erythropoiesis stimulating agents and HIF-PH inhibitors (roxadustat is the only HIF-PH inhibitor currently on the market in China).</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2021, EVRENZO</w:t>
      </w:r>
      <w:r>
        <w:rPr>
          <w:rFonts w:ascii="Arial" w:cs="Arial" w:eastAsia="Arial" w:hAnsi="Arial"/>
          <w:sz w:val="15"/>
          <w:szCs w:val="15"/>
          <w:color w:val="auto"/>
        </w:rPr>
        <w:t>®</w:t>
      </w:r>
      <w:r>
        <w:rPr>
          <w:rFonts w:ascii="Arial" w:cs="Arial" w:eastAsia="Arial" w:hAnsi="Arial"/>
          <w:sz w:val="18"/>
          <w:szCs w:val="18"/>
          <w:color w:val="auto"/>
        </w:rPr>
        <w:t xml:space="preserve"> (roxadustat) was approved for the treatment of adult patients with symptomatic anemia associated with CKD in the European Union and Great Britain. Astellas has launched EVRENZO in Germany, the United Kingdom, the Netherlands, and Austria.</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Japan, our partner Astellas continues to commercialize EVRENZO (roxadustat) for the treatment of anemia associated with CKD in both non-dialysis and dialysis patients.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2021, the U.S. Food and Drug Administration (“FDA”) issued a complete response letter regarding roxadustat’s New Drug Application (“NDA”) for the treatment of anemia due to CKD in adult patients, stating that it could not be approved in its present form. The FDA decision followed a negative advisory vote regarding roxadustat by the Renal Drugs Advisory Committee in July 2021. We are preparing to meet with the FDA to discuss the potential trial(s) that would be required for approval in CKD anemia.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continuing to enroll MATTERHORN, our Phase 2/3 placebo controlled, double-blind clinical trial to evaluate the safety and efficacy of roxadustat for treatment of anemia in MDS in the U.S. and Europe. This 160-patient trial is studying roxadustat in transfusion-dependent, lower-risk MDS patients, in which subjects are randomized 3:2 to receive roxadustat or placebo three-times-weekly. The primary endpoint is the proportion of patients who achieve transfusion independence by 28 weeks with secondary endpoints and safety evaluated at 52 weeks. We expect topline data from this study between the second half of 2022 and the first half of 2023.</w:t>
      </w:r>
    </w:p>
    <w:p>
      <w:pPr>
        <w:spacing w:after="0" w:line="188"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In China, we are enrolling the randomized, double-blind, placebo-controlled portion of our Phase 3 clinical trial to evaluate the safety and efficacy of roxadustat in non-transfusion dependent, lower-risk MDS patients with anemia. One hundred thirty-five subjects will be randomized 2:1 to receive roxadustat or placebo three-times weekly for 26 weeks. The primary endpoint for this study is the percentage of patients achieving a hemoglobin response.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Chemotherapy-Induced Anemia</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completed enrollment and announced positive topline results from WHITNEY, our Phase 2 clinical trial of roxadustat in the U.S. in chemotherapy-induced anemia. This is a single-arm open label study investigating the efficacy and safety of roxadustat for the treatment of anemia in 92 patients receiving myelosuppressive chemotherapy treatment for non-myeloid malignancies, with a treatment duration of 16 weeks. We expect to release data from this study at an upcoming medical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(FG-3019) – Monoclonal Antibody Targeting Connective Tissue Growth Factor (CTGF)</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Pamrevlumab is our first-in-class antibody developed to inhibit the activity of CTGF, a common factor in fibrotic and fibro-proliferative disorders characterized by persistent and excessive scarring that can lead to organ dysfunction and failure.</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second quarter of 2021, the FDA granted both Rare Pediatric Disease designation and Fast Track designation for pamrevlumab for the treatment of patients with DMD. In addition, the FDA has granted Orphan Drug Designation to pamrevlumab for the treatment of IPF, locally advanced unresectable pancreatic cancer, and DMD. Pamrevlumab has also received Fast Track designation from the FDA for the treatment of both IPF and locally advanced unresectable pancreatic cancer.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Idiopathic Pulmonary Fibrosis</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are conducting ZEPHYRUS-1 and ZEPHYRUS-2, our two Phase 3 trials of pamrevlumab in IPF patients. Both studies are randomized, double-blind, placebo-controlled Phase 3 trials targeting approximately 340 patients, each with a primary U.S. efficacy endpoint of change from baseline in forced vital capacity. The primary efficacy endpoint in Europe for each study is disease progression (defined by a decline in forced vital capacity percent predicted of greater than or equal to 10% or death). Secondary endpoints will include clinical outcomes of disease progression, patient reported outcomes, and quantitative changes in lung fibrosis volume from baseline. We expect topline data from ZEPHYRUS-1 in mid-2023.</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Pancreatic Cancer</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continue to enroll LAPIS, our double-blind placebo controlled Phase 3 clinical program for pamrevlumab as a neoadjuvant therapy for locally advanced unresectable pancreatic cancer. We intend to enroll approximately 280 patients, randomized at a 1:1 ratio to receive either pamrevlumab or placebo, in each case in combination with chemotherapy (either FOLFIRINOX or gemcitabine plus nab-paclitaxel). We currently expect topline overall survival data, the primary endpoint, in the first half of 2024. An interim analysis of event-free survival will be completed in the second half of 2022 for potential accelerated approval.</w:t>
      </w:r>
    </w:p>
    <w:p>
      <w:pPr>
        <w:spacing w:after="0" w:line="18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June 2021 the Pancreatic Cancer Action Network's (PanCAN) Precision PromiseSM adaptive trial platform included pamrevlumab, with standard of care chemotherapy treatments for pancreatic cancer (gemcitabine and Abraxane</w:t>
      </w:r>
      <w:r>
        <w:rPr>
          <w:rFonts w:ascii="Arial" w:cs="Arial" w:eastAsia="Arial" w:hAnsi="Arial"/>
          <w:sz w:val="13"/>
          <w:szCs w:val="13"/>
          <w:color w:val="auto"/>
        </w:rPr>
        <w:t>®</w:t>
      </w:r>
      <w:r>
        <w:rPr>
          <w:rFonts w:ascii="Arial" w:cs="Arial" w:eastAsia="Arial" w:hAnsi="Arial"/>
          <w:sz w:val="16"/>
          <w:szCs w:val="16"/>
          <w:color w:val="auto"/>
        </w:rPr>
        <w:t>), in its study for patients with metastatic pancreatic cancer. The combination therapy is offered to patients as either a first- or second-line treatment option, marking the first experimental treatment arm to be offered as a first-line treatment in PanCAN’s innovative Precision Promise trial. The objective of Precision Promise is to expedite the study and approval of promising therapies for pancreatic cancer by bringing multiple stakeholders together, including academic, industry and regulatory entities.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continue to enroll LELANTOS-1, our Phase 3 clinical trial evaluating pamrevlumab in combination with systemic corticosteroids as a treatment for DMD. LELANTOS-1 is a double-blind, placebo-controlled trial in approximately 90 non-ambulatory DMD patients. Patients are randomized at a 1:1 ratio to pamrevlumab or placebo and have a treatment period of 52 weeks. The primary endpoint will assess change in upper limb strength and additional endpoints will include pulmonary, cardiac, performance, and fibrosis assessments. We expect topline data from this study in the first half of 2023.</w:t>
      </w:r>
    </w:p>
    <w:p>
      <w:pPr>
        <w:spacing w:after="0" w:line="15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continue to enroll our double-blind, placebo-controlled Phase 3 clinical trial, LELANTOS-2, evaluating pamrevlumab in combination with systemic corticosteroids in approximately 70 ambulatory DMD patients. Patients aged 6-12 will be randomized at a 1:1 ratio to pamrevlumab or placebo and have a treatment period of 52 weeks. The primary efficacy endpoint will assess ambulatory function, measured by the change in North Star Ambulatory Assessment from baseline to Week 52.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with Eluminex Biosciences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July 2021, we exclusively licensed to Eluminex global rights to our investigational biosynthetic cornea derived from recombinant human collagen type III.</w:t>
      </w:r>
    </w:p>
    <w:p>
      <w:pPr>
        <w:spacing w:after="0" w:line="1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Under the terms of the agreement with Eluminex (the “Eluminex Agreement”), Eluminex will make an $8.0 million upfront payment to FibroGen. In addition,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be eligible to receive mid single-digit to low double-digit royalties based upon worldwide net sales of cornea products, and low single-digit to mid single-digit royalties based on worldwide net sales of other recombinant human collagen type III products that are not cornea products.</w:t>
      </w:r>
    </w:p>
    <w:p>
      <w:pPr>
        <w:spacing w:after="0" w:line="16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During the third quarter of 2021, the $8.0 million upfront license payment was recognized as license revenue for the performance obligations satisfied. See Note 2, </w:t>
      </w:r>
      <w:r>
        <w:rPr>
          <w:rFonts w:ascii="Arial" w:cs="Arial" w:eastAsia="Arial" w:hAnsi="Arial"/>
          <w:sz w:val="17"/>
          <w:szCs w:val="17"/>
          <w:i w:val="1"/>
          <w:iCs w:val="1"/>
          <w:color w:val="auto"/>
        </w:rPr>
        <w:t>Collaboration Agreements, License Agreement and Revenues</w:t>
      </w:r>
      <w:r>
        <w:rPr>
          <w:rFonts w:ascii="Arial" w:cs="Arial" w:eastAsia="Arial" w:hAnsi="Arial"/>
          <w:sz w:val="17"/>
          <w:szCs w:val="17"/>
          <w:color w:val="auto"/>
        </w:rPr>
        <w:t>, to the condensed consolidated financial statements for details.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Our current and future research, development, manufacturing and commercialization efforts with respect to roxadustat and our other product candidates currently in development depend on funds from our collaboration agreements with Astellas and AstraZeneca. See Note 2, </w:t>
      </w:r>
      <w:r>
        <w:rPr>
          <w:rFonts w:ascii="Arial" w:cs="Arial" w:eastAsia="Arial" w:hAnsi="Arial"/>
          <w:sz w:val="18"/>
          <w:szCs w:val="18"/>
          <w:i w:val="1"/>
          <w:iCs w:val="1"/>
          <w:color w:val="auto"/>
        </w:rPr>
        <w:t>Collaboration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License Agreement and Revenues</w:t>
      </w:r>
      <w:r>
        <w:rPr>
          <w:rFonts w:ascii="Arial" w:cs="Arial" w:eastAsia="Arial" w:hAnsi="Arial"/>
          <w:sz w:val="18"/>
          <w:szCs w:val="18"/>
          <w:color w:val="auto"/>
        </w:rPr>
        <w:t>, to the condensed consolidated financial statements for details.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(“Europe Agreement”). Under these agreements, the aggregate amount of such consideration received through September 30, 2021 totals $765.1 million.</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During the third quarter of 2021, the European Commission approved EVRENZO</w:t>
      </w:r>
      <w:r>
        <w:rPr>
          <w:rFonts w:ascii="Arial" w:cs="Arial" w:eastAsia="Arial" w:hAnsi="Arial"/>
          <w:sz w:val="13"/>
          <w:szCs w:val="13"/>
          <w:color w:val="auto"/>
        </w:rPr>
        <w:t>®</w:t>
      </w:r>
      <w:r>
        <w:rPr>
          <w:rFonts w:ascii="Arial" w:cs="Arial" w:eastAsia="Arial" w:hAnsi="Arial"/>
          <w:sz w:val="16"/>
          <w:szCs w:val="16"/>
          <w:color w:val="auto"/>
        </w:rPr>
        <w:t xml:space="preserve"> (roxadustat) for the treatment of adult patients with symptomatic anemia associated with CKD, which triggered a total of $120.0 million milestone payable to us by Astellas under the Europe Agreement. Accordingly, the consideration of $120.0 million associated with these milestones was included in the transaction price and allocated to performance obligations under the Europe Agreement, all of which was recognized as revenue during the third quarter of 2021 from performance obligations satisfied.</w:t>
      </w:r>
    </w:p>
    <w:p>
      <w:pPr>
        <w:spacing w:after="0" w:line="15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2018, FibroGen and Astellas entered into an amendment to the Japan Agreement that allows Astellas to manufacture roxadustat drug product for commercialization in Japan (the “Japan Amendment”). Under this amendment, the related drug product revenue was $2.1 million for the nine months ended September 30, 2021.</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the first quarter of 2021, we entered into an EU Supply Agreement under the Europe Agreement with Astellas to define general forecast, order, supply and payment terms for Astellas to purchase roxadustat bulk drug product from FibroGen in support of commercial supplies. We shipped bulk drug product to Astellas as pre-commercial supply for process validation purposes during the first quarter of 2021. We continued to record the consideration of $11.8 million from this shipment as deferred revenue as of September 30, 2021, due to a high degree of uncertainty associated with the final consideration. The deferred revenue will be recognized as and when the uncertainty is resolved.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a collaboration agreement with AstraZeneca for roxadustat for the treatment of anemia in China (“China Agreement”). Under the AstraZeneca agreements, aggregate amount of such consideration received through September 30, 2021 totals $516.2 million.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 xml:space="preserve">Under the China Agreement, which is conducted through FibroGen China Anemia Holdings, Ltd., FibroGen Beijing, and FibroGen International (Hong Kong) Limited (collectively, (“FibroGen China”), the commercial collaboration was structured as a 50/50 profit share, which was amended by the China Amendment in the third quarter of 2020, as discussed and defined below in </w:t>
      </w:r>
      <w:r>
        <w:rPr>
          <w:rFonts w:ascii="Arial" w:cs="Arial" w:eastAsia="Arial" w:hAnsi="Arial"/>
          <w:sz w:val="18"/>
          <w:szCs w:val="18"/>
          <w:i w:val="1"/>
          <w:iCs w:val="1"/>
          <w:color w:val="auto"/>
        </w:rPr>
        <w:t>China Amendment</w:t>
      </w:r>
      <w:r>
        <w:rPr>
          <w:rFonts w:ascii="Arial" w:cs="Arial" w:eastAsia="Arial" w:hAnsi="Arial"/>
          <w:sz w:val="18"/>
          <w:szCs w:val="18"/>
          <w:color w:val="auto"/>
        </w:rPr>
        <w:t>.</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2020, we entered into Master Supply Agreement under the U.S./RoW Agreement with AstraZeneca (“Master Supply Agreement”) to define general forecast, order, supply and payment terms for AstraZeneca to purchase roxadustat bulk drug product from FibroGen in support of commercial supplies. We shipped bulk drug product to AstraZeneca as commercial supply during 2020 and the first and second quarter of 2021. Based on the CRL issued by the FDA in August 2021, we evaluated the impact of these developments in revising our estimates of variable consideration associated with drug product revenue. As a result, we updated the estimated transaction price, and continued to record $11.2 million as deferred revenue as of September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Amendment</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July 2020, FibroGen China and AstraZeneca (together with FibroGen China, the “Parties”) entered into an amendment, effective July 1, 2020, to the China Agreement, relating to the development and commercialization of roxadustat in China (the “China Amendment”).</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Under the China Amendment, in September 2020, FibroGen Beijing and AstraZeneca completed the establishment of a jointly owned entity, Falikang, which performs roxadustat distribution, as well as conduct sales and marketing through AstraZeneca.</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transaction price of the China manufacturing and supply obligation (“China performance obligation”) to the performance obligation satisfied during the reporting period. During the three and nine months ended September 30, 2021, we recognized net product revenue of $10.3 million and $32.5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Related to Collaboration Agreements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cash consideration received through September 30, 2021 and potential cash consideration, for upfront payments and milestone payments under our collaboration agreements are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Cash Received for Upfront</w:t>
            </w: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Payments and Milestone</w:t>
            </w:r>
          </w:p>
        </w:tc>
        <w:tc>
          <w:tcPr>
            <w:tcW w:w="300" w:type="dxa"/>
            <w:vAlign w:val="bottom"/>
          </w:tcPr>
          <w:p>
            <w:pPr>
              <w:spacing w:after="0"/>
              <w:rPr>
                <w:sz w:val="12"/>
                <w:szCs w:val="12"/>
                <w:color w:val="auto"/>
              </w:rPr>
            </w:pPr>
          </w:p>
        </w:tc>
        <w:tc>
          <w:tcPr>
            <w:tcW w:w="160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Payments</w:t>
            </w:r>
          </w:p>
        </w:tc>
        <w:tc>
          <w:tcPr>
            <w:tcW w:w="3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Potential</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Through</w:t>
            </w:r>
          </w:p>
        </w:tc>
        <w:tc>
          <w:tcPr>
            <w:tcW w:w="300" w:type="dxa"/>
            <w:vAlign w:val="bottom"/>
          </w:tcPr>
          <w:p>
            <w:pPr>
              <w:spacing w:after="0"/>
              <w:rPr>
                <w:sz w:val="12"/>
                <w:szCs w:val="12"/>
                <w:color w:val="auto"/>
              </w:rPr>
            </w:pPr>
          </w:p>
        </w:tc>
        <w:tc>
          <w:tcPr>
            <w:tcW w:w="160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1"/>
              </w:rPr>
              <w:t>Potential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Cash Payments for Upfront</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2021</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Cash Payment for Milestones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Payments and Milestones</w:t>
            </w:r>
          </w:p>
        </w:tc>
        <w:tc>
          <w:tcPr>
            <w:tcW w:w="0" w:type="dxa"/>
            <w:vAlign w:val="bottom"/>
          </w:tcPr>
          <w:p>
            <w:pPr>
              <w:spacing w:after="0"/>
              <w:rPr>
                <w:sz w:val="1"/>
                <w:szCs w:val="1"/>
                <w:color w:val="auto"/>
              </w:rPr>
            </w:pPr>
          </w:p>
        </w:tc>
      </w:tr>
      <w:tr>
        <w:trPr>
          <w:trHeight w:val="155"/>
        </w:trPr>
        <w:tc>
          <w:tcPr>
            <w:tcW w:w="2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23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40"/>
              <w:spacing w:after="0"/>
              <w:rPr>
                <w:sz w:val="20"/>
                <w:szCs w:val="20"/>
                <w:color w:val="auto"/>
              </w:rPr>
            </w:pPr>
            <w:r>
              <w:rPr>
                <w:rFonts w:ascii="Arial" w:cs="Arial" w:eastAsia="Arial" w:hAnsi="Arial"/>
                <w:sz w:val="18"/>
                <w:szCs w:val="18"/>
                <w:color w:val="auto"/>
              </w:rPr>
              <w:t>Japan Agreement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105,093</w:t>
            </w:r>
          </w:p>
        </w:tc>
        <w:tc>
          <w:tcPr>
            <w:tcW w:w="30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67,500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172,593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 Agreement</w:t>
            </w:r>
          </w:p>
        </w:tc>
        <w:tc>
          <w:tcPr>
            <w:tcW w:w="8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660,000</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85,000</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Pr>
          <w:p>
            <w:pPr>
              <w:ind w:left="480"/>
              <w:spacing w:after="0"/>
              <w:rPr>
                <w:sz w:val="20"/>
                <w:szCs w:val="20"/>
                <w:color w:val="auto"/>
              </w:rPr>
            </w:pPr>
            <w:r>
              <w:rPr>
                <w:rFonts w:ascii="Arial" w:cs="Arial" w:eastAsia="Arial" w:hAnsi="Arial"/>
                <w:sz w:val="18"/>
                <w:szCs w:val="18"/>
                <w:color w:val="auto"/>
              </w:rPr>
              <w:t>Total Astellas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765,093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152,500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917,593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40"/>
              <w:spacing w:after="0"/>
              <w:rPr>
                <w:sz w:val="20"/>
                <w:szCs w:val="20"/>
                <w:color w:val="auto"/>
              </w:rPr>
            </w:pPr>
            <w:r>
              <w:rPr>
                <w:rFonts w:ascii="Arial" w:cs="Arial" w:eastAsia="Arial" w:hAnsi="Arial"/>
                <w:sz w:val="18"/>
                <w:szCs w:val="18"/>
                <w:color w:val="auto"/>
              </w:rPr>
              <w:t>U.S. / RoW Agreement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439,000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810,000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1,249,000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China Agreement</w:t>
            </w:r>
          </w:p>
        </w:tc>
        <w:tc>
          <w:tcPr>
            <w:tcW w:w="8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77,200</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299,500</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AstraZeneca</w:t>
            </w:r>
          </w:p>
        </w:tc>
        <w:tc>
          <w:tcPr>
            <w:tcW w:w="8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516,200</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1,109,500</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1,281,293</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1,262,000</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above table does not include development cost reimbursement, transfer price payments, and royalties and profit share under our existing collaboration agreements. These collaboration agreements also provide for reimbursement of certain fully burdened research and development costs as well as direct out of pocket expenses.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gridSpan w:val="5"/>
          </w:tcPr>
          <w:p>
            <w:pPr>
              <w:jc w:val="right"/>
              <w:ind w:right="600"/>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116,434</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$ 116,434</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116,434</w:t>
            </w:r>
          </w:p>
        </w:tc>
        <w:tc>
          <w:tcPr>
            <w:tcW w:w="2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$ 116,434</w:t>
            </w: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5,434</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59,065</w:t>
            </w: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260"/>
              <w:spacing w:after="0"/>
              <w:rPr>
                <w:sz w:val="20"/>
                <w:szCs w:val="20"/>
                <w:color w:val="auto"/>
              </w:rPr>
            </w:pPr>
            <w:r>
              <w:rPr>
                <w:rFonts w:ascii="Arial" w:cs="Arial" w:eastAsia="Arial" w:hAnsi="Arial"/>
                <w:sz w:val="18"/>
                <w:szCs w:val="18"/>
                <w:color w:val="auto"/>
              </w:rPr>
              <w:t>Product revenue, net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22,683</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(9,241)</w:t>
            </w:r>
          </w:p>
        </w:tc>
        <w:tc>
          <w:tcPr>
            <w:tcW w:w="920" w:type="dxa"/>
            <w:vAlign w:val="bottom"/>
            <w:gridSpan w:val="2"/>
          </w:tcPr>
          <w:p>
            <w:pPr>
              <w:jc w:val="right"/>
              <w:ind w:right="90"/>
              <w:spacing w:after="0"/>
              <w:rPr>
                <w:sz w:val="20"/>
                <w:szCs w:val="20"/>
                <w:color w:val="auto"/>
              </w:rPr>
            </w:pPr>
            <w:r>
              <w:rPr>
                <w:rFonts w:ascii="Arial" w:cs="Arial" w:eastAsia="Arial" w:hAnsi="Arial"/>
                <w:sz w:val="18"/>
                <w:szCs w:val="18"/>
                <w:color w:val="auto"/>
              </w:rPr>
              <w:t>(41) %</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42,175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43,331</w:t>
            </w:r>
          </w:p>
        </w:tc>
        <w:tc>
          <w:tcPr>
            <w:tcW w:w="24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(1,156)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2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Drug product revenue</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2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(686)</w:t>
            </w:r>
          </w:p>
        </w:tc>
        <w:tc>
          <w:tcPr>
            <w:tcW w:w="9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(100) %</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8,924</w:t>
            </w:r>
          </w:p>
        </w:tc>
        <w:tc>
          <w:tcPr>
            <w:tcW w:w="2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(9,092)</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3"/>
        </w:trPr>
        <w:tc>
          <w:tcPr>
            <w:tcW w:w="29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155,973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44,032</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$ 111,941</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218,766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111,320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$ 107,446</w:t>
            </w: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 In addition, we started roxadustat commercial sales in China in 2019.</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w:t>
      </w:r>
    </w:p>
    <w:p>
      <w:pPr>
        <w:spacing w:after="0" w:line="18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Development revenue includes co-development and other development related services. Co-development services are recognized as revenue in the period in which they are billed to our partners, excluding China. For China co-development services, revenue is deferred until we begin to transfer control of the manufactured commercial product to AstraZeneca, which commenced in the first quarter of 2021 and is expected to continue through 2028. Other development related services are recognized as revenue over the non-contingent development period based on a proportional performance method. As of September 30, 2021, the estimated future non-contingent development periods range from three to 45 months. Other revenues consist of sales of research and development material and have not been material for any of the periods presented.</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Product revenue is recognized when our customer obtains control of promised goods or services in an amount that reflects the consideration we expect to receive in exchange for those goods or services.</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Drug product revenue includes commercial-grade API or bulk drug product sales to AstraZeneca and Astellas in support of pre-commercial preparation prior to the NDA or Marketing Authorization Application approval, and to Astellas for ongoing commercial launch in Japan. Drug product revenue is recognized when we fulfill the delivery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 In the future, we will continue generating revenue from collaboration agreements in the form of license fees, milestone payments, reimbursements for collaboration services and royalties on drug product sales, and from product sales. We expect that any revenues we generate will fluctuate from quarter to quarter due to the uncertain timing and amount of such payments and sales.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revenue increased $111.9 million, or 254% for the three months ended September 30, 2021 and $107.4 million, or 97% for the nine months ended September 30, 2021, compared to the same periods a year ago for the reasons discussed in the sections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Revenue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w w:val="97"/>
              </w:rPr>
              <w:t>Change</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4"/>
          </w:tcPr>
          <w:p>
            <w:pPr>
              <w:jc w:val="right"/>
              <w:ind w:right="318"/>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108,434</w:t>
            </w:r>
          </w:p>
        </w:tc>
        <w:tc>
          <w:tcPr>
            <w:tcW w:w="8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108,434</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108,434</w:t>
            </w: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108,434</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ind w:left="260"/>
              <w:spacing w:after="0"/>
              <w:rPr>
                <w:sz w:val="20"/>
                <w:szCs w:val="20"/>
                <w:color w:val="auto"/>
              </w:rPr>
            </w:pPr>
            <w:r>
              <w:rPr>
                <w:rFonts w:ascii="Arial" w:cs="Arial" w:eastAsia="Arial" w:hAnsi="Arial"/>
                <w:sz w:val="18"/>
                <w:szCs w:val="18"/>
                <w:color w:val="auto"/>
              </w:rPr>
              <w:t>Eluminex</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8,000</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8,000</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license revenue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116,434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116,434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Borders>
              <w:top w:val="single" w:sz="8" w:color="CFF0FC"/>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116,434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116,434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License revenue recognized under our collaboration agreements with Astellas for the three and nine months ended September 30, 2021 represented the allocated revenue of related to a total of $120.0 million regulatory milestones associated with the approval by European Commission of EVRENZO</w:t>
      </w:r>
      <w:r>
        <w:rPr>
          <w:rFonts w:ascii="Arial" w:cs="Arial" w:eastAsia="Arial" w:hAnsi="Arial"/>
          <w:sz w:val="13"/>
          <w:szCs w:val="13"/>
          <w:color w:val="auto"/>
        </w:rPr>
        <w:t>®</w:t>
      </w:r>
      <w:r>
        <w:rPr>
          <w:rFonts w:ascii="Arial" w:cs="Arial" w:eastAsia="Arial" w:hAnsi="Arial"/>
          <w:sz w:val="16"/>
          <w:szCs w:val="16"/>
          <w:color w:val="auto"/>
        </w:rPr>
        <w:t xml:space="preserve"> (roxadustat) for the treatment of adult patients with symptomatic anemia associated with CKD during the third quarter of 2021.</w:t>
      </w:r>
    </w:p>
    <w:p>
      <w:pPr>
        <w:spacing w:after="0" w:line="1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License revenue recognized under our license agreement with Eluminex for the three and nine months ended September 30, 2021 represented the $8.0 million upfront license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license revenue for the three and nine months ended September 30,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4"/>
          </w:tcPr>
          <w:p>
            <w:pPr>
              <w:jc w:val="right"/>
              <w:ind w:right="297"/>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Development revenue:</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14,127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4,737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9,390</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20,383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14,240</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6,143</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(3,956)</w:t>
            </w:r>
          </w:p>
        </w:tc>
        <w:tc>
          <w:tcPr>
            <w:tcW w:w="9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(25) %</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39,939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(4,886)</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3"/>
        </w:trPr>
        <w:tc>
          <w:tcPr>
            <w:tcW w:w="3280" w:type="dxa"/>
            <w:vAlign w:val="bottom"/>
          </w:tcPr>
          <w:p>
            <w:pPr>
              <w:ind w:left="500"/>
              <w:spacing w:after="0"/>
              <w:rPr>
                <w:sz w:val="20"/>
                <w:szCs w:val="20"/>
                <w:color w:val="auto"/>
              </w:rPr>
            </w:pPr>
            <w:r>
              <w:rPr>
                <w:rFonts w:ascii="Arial" w:cs="Arial" w:eastAsia="Arial" w:hAnsi="Arial"/>
                <w:sz w:val="18"/>
                <w:szCs w:val="18"/>
                <w:color w:val="auto"/>
              </w:rPr>
              <w:t>Total development revenue</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26,097</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20,663</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60,322</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59,065</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80" w:type="dxa"/>
            <w:vAlign w:val="bottom"/>
          </w:tcPr>
          <w:p>
            <w:pPr>
              <w:ind w:left="500"/>
              <w:spacing w:after="0"/>
              <w:rPr>
                <w:sz w:val="20"/>
                <w:szCs w:val="20"/>
                <w:color w:val="auto"/>
              </w:rPr>
            </w:pPr>
            <w:r>
              <w:rPr>
                <w:rFonts w:ascii="Arial" w:cs="Arial" w:eastAsia="Arial" w:hAnsi="Arial"/>
                <w:sz w:val="18"/>
                <w:szCs w:val="18"/>
                <w:color w:val="auto"/>
              </w:rPr>
              <w:t>Total development and other</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50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26,097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20,663</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5,434</w:t>
            </w: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60,325</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59,065</w:t>
            </w:r>
          </w:p>
        </w:tc>
        <w:tc>
          <w:tcPr>
            <w:tcW w:w="24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1,260</w:t>
            </w:r>
          </w:p>
        </w:tc>
        <w:tc>
          <w:tcPr>
            <w:tcW w:w="3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Development and other revenue increased $5.4 million, or 26% for the three months ended September 30, 2021 and $1.3 million, or 2% for the nine months ended September 30, 2021, compared to the same periods a year ago.</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Development revenue recognized under our collaboration agreements with Astellas included the allocated revenue of $11.6 million related to the above-mentioned $120.0 million associated with the approvals in EU achieved during the third quarter of 2021. The increases were partially offset by the decreased in co-development billings related to the development of roxadustat under our collaboration agreements with Astellas for the three and nine months ended September 30, 2021 as a result of the substantial completion of Phase 3 trials for roxadustat.</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Development revenue recognized under our collaboration agreements with AstraZeneca for the three and nine months ended September 30, 2021 was impacted by the increase in CKD related co-development billings in the U.S., offset by the extension of the estimated future non-contingent development period when we were notified of the FDA CRDAC meeting to review the NDA for roxadustat.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Revenue,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5"/>
          </w:tcPr>
          <w:p>
            <w:pPr>
              <w:jc w:val="right"/>
              <w:ind w:right="520"/>
              <w:spacing w:after="0" w:line="155" w:lineRule="exact"/>
              <w:rPr>
                <w:sz w:val="20"/>
                <w:szCs w:val="20"/>
                <w:color w:val="auto"/>
              </w:rPr>
            </w:pPr>
            <w:r>
              <w:rPr>
                <w:rFonts w:ascii="Arial" w:cs="Arial" w:eastAsia="Arial" w:hAnsi="Arial"/>
                <w:sz w:val="14"/>
                <w:szCs w:val="14"/>
                <w:b w:val="1"/>
                <w:bCs w:val="1"/>
                <w:color w:val="auto"/>
                <w:w w:val="95"/>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Direct Sales: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Gross revenue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3,249</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27,900</w:t>
            </w:r>
          </w:p>
        </w:tc>
        <w:tc>
          <w:tcPr>
            <w:tcW w:w="160" w:type="dxa"/>
            <w:vAlign w:val="bottom"/>
          </w:tcPr>
          <w:p>
            <w:pPr>
              <w:spacing w:after="0"/>
              <w:rPr>
                <w:sz w:val="19"/>
                <w:szCs w:val="19"/>
                <w:color w:val="auto"/>
              </w:rPr>
            </w:pPr>
          </w:p>
        </w:tc>
        <w:tc>
          <w:tcPr>
            <w:tcW w:w="1140" w:type="dxa"/>
            <w:vAlign w:val="bottom"/>
            <w:gridSpan w:val="3"/>
          </w:tcPr>
          <w:p>
            <w:pPr>
              <w:jc w:val="right"/>
              <w:ind w:right="201"/>
              <w:spacing w:after="0"/>
              <w:rPr>
                <w:sz w:val="20"/>
                <w:szCs w:val="20"/>
                <w:color w:val="auto"/>
              </w:rPr>
            </w:pPr>
            <w:r>
              <w:rPr>
                <w:rFonts w:ascii="Arial" w:cs="Arial" w:eastAsia="Arial" w:hAnsi="Arial"/>
                <w:sz w:val="18"/>
                <w:szCs w:val="18"/>
                <w:color w:val="auto"/>
              </w:rPr>
              <w:t>$ (24,651)</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(88)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10,908</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53,105</w:t>
            </w:r>
          </w:p>
        </w:tc>
        <w:tc>
          <w:tcPr>
            <w:tcW w:w="140" w:type="dxa"/>
            <w:vAlign w:val="bottom"/>
          </w:tcPr>
          <w:p>
            <w:pPr>
              <w:spacing w:after="0"/>
              <w:rPr>
                <w:sz w:val="19"/>
                <w:szCs w:val="19"/>
                <w:color w:val="auto"/>
              </w:rPr>
            </w:pPr>
          </w:p>
        </w:tc>
        <w:tc>
          <w:tcPr>
            <w:tcW w:w="1220" w:type="dxa"/>
            <w:vAlign w:val="bottom"/>
            <w:gridSpan w:val="3"/>
          </w:tcPr>
          <w:p>
            <w:pPr>
              <w:jc w:val="right"/>
              <w:ind w:right="261"/>
              <w:spacing w:after="0"/>
              <w:rPr>
                <w:sz w:val="20"/>
                <w:szCs w:val="20"/>
                <w:color w:val="auto"/>
              </w:rPr>
            </w:pPr>
            <w:r>
              <w:rPr>
                <w:rFonts w:ascii="Arial" w:cs="Arial" w:eastAsia="Arial" w:hAnsi="Arial"/>
                <w:sz w:val="18"/>
                <w:szCs w:val="18"/>
                <w:color w:val="auto"/>
              </w:rPr>
              <w:t>$ (42,197)</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Discounts and rebates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(5,209)</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(97) %</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(1,314)</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(9,721)</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8,407</w:t>
            </w:r>
          </w:p>
        </w:tc>
        <w:tc>
          <w:tcPr>
            <w:tcW w:w="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Arial" w:cs="Arial" w:eastAsia="Arial" w:hAnsi="Arial"/>
                <w:sz w:val="18"/>
                <w:szCs w:val="18"/>
                <w:color w:val="auto"/>
              </w:rPr>
              <w:t>Sales returns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(75)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19"/>
                <w:szCs w:val="19"/>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Direct sales revenue, net</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22,683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(19,569)</w:t>
            </w:r>
          </w:p>
        </w:tc>
        <w:tc>
          <w:tcPr>
            <w:tcW w:w="3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(86) %</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43,331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(33,651</w:t>
            </w:r>
          </w:p>
        </w:tc>
        <w:tc>
          <w:tcPr>
            <w:tcW w:w="400" w:type="dxa"/>
            <w:vAlign w:val="bottom"/>
            <w:tcBorders>
              <w:top w:val="single" w:sz="8" w:color="CFF0FC"/>
            </w:tcBorders>
            <w:shd w:val="clear" w:color="auto" w:fill="CFF0FC"/>
          </w:tcPr>
          <w:p>
            <w:pPr>
              <w:jc w:val="right"/>
              <w:ind w:right="261"/>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to Falikang:</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Gross transfer price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31,179</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82,294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82,294</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Profit share</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(12,090)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201"/>
              <w:spacing w:after="0"/>
              <w:rPr>
                <w:sz w:val="20"/>
                <w:szCs w:val="20"/>
                <w:color w:val="auto"/>
              </w:rPr>
            </w:pPr>
            <w:r>
              <w:rPr>
                <w:rFonts w:ascii="Arial" w:cs="Arial" w:eastAsia="Arial" w:hAnsi="Arial"/>
                <w:sz w:val="18"/>
                <w:szCs w:val="18"/>
                <w:color w:val="auto"/>
              </w:rPr>
              <w:t>(12,090)</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(31,726)</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ind w:right="261"/>
              <w:spacing w:after="0"/>
              <w:rPr>
                <w:sz w:val="20"/>
                <w:szCs w:val="20"/>
                <w:color w:val="auto"/>
              </w:rPr>
            </w:pPr>
            <w:r>
              <w:rPr>
                <w:rFonts w:ascii="Arial" w:cs="Arial" w:eastAsia="Arial" w:hAnsi="Arial"/>
                <w:sz w:val="18"/>
                <w:szCs w:val="18"/>
                <w:color w:val="auto"/>
              </w:rPr>
              <w:t>(31,726)</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Pr>
          <w:p>
            <w:pPr>
              <w:ind w:left="260"/>
              <w:spacing w:after="0"/>
              <w:rPr>
                <w:sz w:val="20"/>
                <w:szCs w:val="20"/>
                <w:color w:val="auto"/>
              </w:rPr>
            </w:pPr>
            <w:r>
              <w:rPr>
                <w:rFonts w:ascii="Arial" w:cs="Arial" w:eastAsia="Arial" w:hAnsi="Arial"/>
                <w:sz w:val="18"/>
                <w:szCs w:val="18"/>
                <w:color w:val="auto"/>
              </w:rPr>
              <w:t>Net transfer price</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19,089</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50,568</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50,568</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deferred revenue</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201"/>
              <w:spacing w:after="0"/>
              <w:rPr>
                <w:sz w:val="20"/>
                <w:szCs w:val="20"/>
                <w:color w:val="auto"/>
              </w:rPr>
            </w:pPr>
            <w:r>
              <w:rPr>
                <w:rFonts w:ascii="Arial" w:cs="Arial" w:eastAsia="Arial" w:hAnsi="Arial"/>
                <w:sz w:val="18"/>
                <w:szCs w:val="18"/>
                <w:color w:val="auto"/>
              </w:rPr>
              <w:t>(8,761)</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(18,073)</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ind w:right="261"/>
              <w:spacing w:after="0"/>
              <w:rPr>
                <w:sz w:val="20"/>
                <w:szCs w:val="20"/>
                <w:color w:val="auto"/>
              </w:rPr>
            </w:pPr>
            <w:r>
              <w:rPr>
                <w:rFonts w:ascii="Arial" w:cs="Arial" w:eastAsia="Arial" w:hAnsi="Arial"/>
                <w:sz w:val="18"/>
                <w:szCs w:val="18"/>
                <w:color w:val="auto"/>
              </w:rPr>
              <w:t>(18,073)</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Sales to Falikang revenue, net</w:t>
            </w:r>
          </w:p>
        </w:tc>
        <w:tc>
          <w:tcPr>
            <w:tcW w:w="3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10,328</w:t>
            </w:r>
          </w:p>
        </w:tc>
        <w:tc>
          <w:tcPr>
            <w:tcW w:w="34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32,495</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32,495</w:t>
            </w:r>
          </w:p>
        </w:tc>
        <w:tc>
          <w:tcPr>
            <w:tcW w:w="40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FF0FC"/>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product revenue, net</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22,683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(9,241</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90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(41) %</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43,331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  (1,156</w:t>
            </w:r>
          </w:p>
        </w:tc>
        <w:tc>
          <w:tcPr>
            <w:tcW w:w="400" w:type="dxa"/>
            <w:vAlign w:val="bottom"/>
            <w:tcBorders>
              <w:bottom w:val="single" w:sz="8" w:color="CFF0FC"/>
            </w:tcBorders>
            <w:shd w:val="clear" w:color="auto" w:fill="CFF0FC"/>
          </w:tcPr>
          <w:p>
            <w:pPr>
              <w:jc w:val="right"/>
              <w:ind w:right="261"/>
              <w:spacing w:after="0"/>
              <w:rPr>
                <w:sz w:val="20"/>
                <w:szCs w:val="20"/>
                <w:color w:val="auto"/>
              </w:rPr>
            </w:pPr>
            <w:r>
              <w:rPr>
                <w:rFonts w:ascii="Arial" w:cs="Arial" w:eastAsia="Arial" w:hAnsi="Arial"/>
                <w:sz w:val="16"/>
                <w:szCs w:val="16"/>
                <w:color w:val="auto"/>
                <w:w w:val="74"/>
              </w:rPr>
              <w:t>)</w:t>
            </w:r>
          </w:p>
        </w:tc>
        <w:tc>
          <w:tcPr>
            <w:tcW w:w="86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January 2021, Falikang became fully operational and substantially all direct product sales to distributors in China were made by Falikang, while FibroGen Beijing continued to sell product directly in a few provinces in China.</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Product revenue from direct sales to distributors is recognized in an amount that reflects the consideration that we expect to be entitled to in exchange for those products, net of various sales rebates and discounts. The gross product revenue from direct sales to distributors was $3.2 million and $27.9 million for the three months ended September 30, 2021 and 2020, and $10.9 million and $53.1 million for nine months ended September 30, 2021 and 2020, respectively. The total discounts and rebates were $0.1 million and $5.2 million for the three months ended September 30, 2021 and 2020, and $1.3 million and $9.7 million for nine months ended September 30, 2021 and 2020, respectively. The discounts and rebates primarily consisted of the contractual sales rebate that were calculated based on the stated percentage of gross sales by each distributor in the distribution agreement, and non-key account hospital listing award that was calculated based on eligible non-key account hospital listing to date achieved by each distributor with certain requirements met during the period. During the three and nine months ended September 30, 2020, non-key account hospital listing award was $2.9 million and $5.5 million, respectively, recorded as a reduction to the revenue, related to accounting modifications of non-key account hospital listing award, as a result of the amendment to the agreement with our pharmaceutical distributors in the second quarter of 2020.</w:t>
      </w:r>
    </w:p>
    <w:p>
      <w:pPr>
        <w:spacing w:after="0" w:line="16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 During the three and nine months ended September 30, 2021, the gross transfer price was $31.2 million and $82.3 million respectively, net of the calculated profit share of $12.1 million and $31.7 million respectively. Following updates to our estimates, we deferred $8.8 million and $18.1 million from the sales to Falikang for the three and nine months ended September 30, 2021 respectively, which was included in the related deferred revenue of the China performance obligation.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Drug Product Revenue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14"/>
                <w:szCs w:val="14"/>
                <w:color w:val="auto"/>
              </w:rPr>
            </w:pPr>
          </w:p>
        </w:tc>
        <w:tc>
          <w:tcPr>
            <w:tcW w:w="920" w:type="dxa"/>
            <w:vAlign w:val="bottom"/>
            <w:gridSpan w:val="2"/>
            <w:vMerge w:val="restart"/>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5"/>
          </w:tcPr>
          <w:p>
            <w:pPr>
              <w:jc w:val="right"/>
              <w:ind w:right="660"/>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Drug product revenue:</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60"/>
              <w:spacing w:after="0"/>
              <w:rPr>
                <w:sz w:val="20"/>
                <w:szCs w:val="20"/>
                <w:color w:val="auto"/>
              </w:rPr>
            </w:pPr>
            <w:r>
              <w:rPr>
                <w:rFonts w:ascii="Arial" w:cs="Arial" w:eastAsia="Arial" w:hAnsi="Arial"/>
                <w:sz w:val="18"/>
                <w:szCs w:val="18"/>
                <w:color w:val="auto"/>
              </w:rPr>
              <w:t>Astellas</w:t>
            </w:r>
          </w:p>
        </w:tc>
        <w:tc>
          <w:tcPr>
            <w:tcW w:w="8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(3,957)</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3,957</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2,056</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4,281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(2,225)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(4,643)</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100  %</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(2,224)</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(6,867)</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23"/>
        </w:trPr>
        <w:tc>
          <w:tcPr>
            <w:tcW w:w="2780" w:type="dxa"/>
            <w:vAlign w:val="bottom"/>
          </w:tcPr>
          <w:p>
            <w:pPr>
              <w:ind w:left="500"/>
              <w:spacing w:after="0"/>
              <w:rPr>
                <w:sz w:val="20"/>
                <w:szCs w:val="20"/>
                <w:color w:val="auto"/>
              </w:rPr>
            </w:pPr>
            <w:r>
              <w:rPr>
                <w:rFonts w:ascii="Arial" w:cs="Arial" w:eastAsia="Arial" w:hAnsi="Arial"/>
                <w:sz w:val="18"/>
                <w:szCs w:val="18"/>
                <w:color w:val="auto"/>
              </w:rPr>
              <w:t>Total drug product revenue:</w:t>
            </w: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(100)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8,924</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drug product revenue for the three months ended September 30, 2021.</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During the nine months ended September 30, 2021, we recorded $2.1 million in the drug product revenue related to the API shipments fulfilled under the terms of the Japan Amendment with Astellas in 2018, due to a change in estimated variable consideration. Specifically, the change in estimated variable consideration was based on the API held by Astellas, adjusted to reflect the changes in the estimated bulk product strength mix intended to be manufactured by Astellas, estimated cost to convert the API to bulk product tablets, and estimated yield from the manufacture of bulk product tablets, among others. During the three months ended September 30, 2020, we recorded a reduction of $4.0 million to the drug product revenue related to the same API shipments for the change in estimated variable consideration based on the API held by Astellas under the same methodology.</w:t>
      </w:r>
    </w:p>
    <w:p>
      <w:pPr>
        <w:spacing w:after="0" w:line="16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During the first quarter of 2021, we shipped bulk drug product from process validation supplies for commercial purposes under the terms of the Europe Agreement with Astellas. We continued to record the consideration of $11.8 million from this shipment as deferred revenue as of September 30, 2021, due to a high degree of uncertainty associated with the final consideration, which will be recognized as and when the uncertainty is resolved.</w:t>
      </w:r>
    </w:p>
    <w:p>
      <w:pPr>
        <w:spacing w:after="0" w:line="1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second quarter of 2021, we shipped bulk drug product to AstraZeneca as commercial supply under the terms of the Master Supply Agreement. Based on the above-mentioned FDA CRL in August 2021, we evaluated the impact of these developments in revising our estimates of variable consideration associated with drug product revenue. As a result, we updated the estimated transaction price, and continued to record $11.2 million as deferred revenue as of September 30, 2021.</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second quarter of 2020, we fulfilled the delivery obligations under the terms of the Japan Amendment, and recognized the related drug product revenue of $8.2 million in the same period.</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During the first three quarters of 2020, we delivered process validation product to AstraZeneca as pre-commercial supply under the U.S./RoW Agreement and recorded the related drug product revenue of $4.6 million during the three and nine months ended September 30, 2020.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97"/>
              </w:rPr>
              <w:t>Change</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10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5"/>
          </w:tcPr>
          <w:p>
            <w:pPr>
              <w:ind w:left="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3,266</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2,207</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9,746</w:t>
            </w:r>
          </w:p>
        </w:tc>
        <w:tc>
          <w:tcPr>
            <w:tcW w:w="2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6,253</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9"/>
              </w:rPr>
              <w:t>$   3,493</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17,404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273,123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174,792</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98,331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(48,981)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74,834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153</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89,186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64,157</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25,029</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1"/>
              </w:rPr>
              <w:t>Total operating costs and expenses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104,999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93,297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480" w:type="dxa"/>
            <w:vAlign w:val="bottom"/>
            <w:tcBorders>
              <w:top w:val="single" w:sz="8" w:color="CFF0FC"/>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372,055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245,202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$ 126,853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Total operating costs and expenses increased $93.3 million, or 797% for the three months ended September 30, 2021, and $126.9 million, or 52% for the nine months ended September 30, 2021, compared to the same periods a year ago, for the reason discussed in the sections below.</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Cost of goods sold was $3.3 million and 2.2 million for the three months ended September 30, 2021 and 2020, respectively. Cost of goods sold was $9.7 million and $6.3 million for the nine months ended September 30, 2021 and 2020, respectively.</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$2.8 million and $2.2 million for the three months ended September 30, 2021 and 2020, and $7.4 million and $5.8 million for the nine months ended September 30, 2021 and 2020, respectively, due to the sales to Falikang that started in January 2021, offset by the overall increase in the gross sales.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Cost of goods sold associated with the roxadustat drug product revenue in the U.S. was $0.5 million and immaterial for the three months ended</w:t>
      </w:r>
    </w:p>
    <w:p>
      <w:pPr>
        <w:spacing w:after="0" w:line="3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September 30, 2021 and 2020, and $2.3 million and $0.4 million for the nine months ended September 30, 2021 and 2020, respectively. We expect costs of goods sold to increase in relation to drug product revenue as we deplete inventories that we had expensed prior to receiving regulatory approvals.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(“CROs”),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 Research and development expenses also include in-process research and development assets that have no alternative future use other than in a particular research and development project. Following the CRL for roxadustat in the U.S., we are implementing a cost reduction effort, and as a result, research and development expenses may decrease in certain areas in the near future.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incurred during the three and nine months ended September 30, 2021 and 2020:</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0"/>
              </w:rPr>
              <w:t>Phase of Development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Three Months Ended September 30,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3520" w:type="dxa"/>
            <w:vAlign w:val="bottom"/>
            <w:gridSpan w:val="2"/>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Roxadustat</w:t>
            </w:r>
          </w:p>
        </w:tc>
        <w:tc>
          <w:tcPr>
            <w:tcW w:w="1380" w:type="dxa"/>
            <w:vAlign w:val="bottom"/>
            <w:shd w:val="clear" w:color="auto" w:fill="CFF0FC"/>
          </w:tcPr>
          <w:p>
            <w:pPr>
              <w:spacing w:after="0"/>
              <w:rPr>
                <w:sz w:val="20"/>
                <w:szCs w:val="20"/>
                <w:color w:val="auto"/>
              </w:rPr>
            </w:pPr>
            <w:r>
              <w:rPr>
                <w:rFonts w:ascii="Arial" w:cs="Arial" w:eastAsia="Arial" w:hAnsi="Arial"/>
                <w:sz w:val="18"/>
                <w:szCs w:val="18"/>
                <w:color w:val="auto"/>
              </w:rPr>
              <w:t>Phase 3</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31,222</w:t>
            </w:r>
          </w:p>
        </w:tc>
        <w:tc>
          <w:tcPr>
            <w:tcW w:w="6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72,989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Pamrevlumab</w:t>
            </w:r>
          </w:p>
        </w:tc>
        <w:tc>
          <w:tcPr>
            <w:tcW w:w="1380" w:type="dxa"/>
            <w:vAlign w:val="bottom"/>
          </w:tcPr>
          <w:p>
            <w:pPr>
              <w:spacing w:after="0"/>
              <w:rPr>
                <w:sz w:val="20"/>
                <w:szCs w:val="20"/>
                <w:color w:val="auto"/>
              </w:rPr>
            </w:pPr>
            <w:r>
              <w:rPr>
                <w:rFonts w:ascii="Arial" w:cs="Arial" w:eastAsia="Arial" w:hAnsi="Arial"/>
                <w:sz w:val="18"/>
                <w:szCs w:val="18"/>
                <w:color w:val="auto"/>
              </w:rPr>
              <w:t>Phase 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43,780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24,959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137,334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62,800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ind w:left="180"/>
              <w:spacing w:after="0"/>
              <w:rPr>
                <w:sz w:val="20"/>
                <w:szCs w:val="20"/>
                <w:color w:val="auto"/>
              </w:rPr>
            </w:pPr>
            <w:r>
              <w:rPr>
                <w:rFonts w:ascii="Arial" w:cs="Arial" w:eastAsia="Arial" w:hAnsi="Arial"/>
                <w:sz w:val="18"/>
                <w:szCs w:val="18"/>
                <w:color w:val="auto"/>
                <w:w w:val="97"/>
              </w:rPr>
              <w:t>Total research and development expenses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75,880</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58,476</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273,123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increase in the future as we advance our product candidates through clinical trials and expand our product candidate portfolio.</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Research and development expenses increased $17.4 million, or 30% for the three months ended September 30, 2021, compared to the same period a year ago, as a result of the net effect of the following:</w:t>
      </w:r>
    </w:p>
    <w:p>
      <w:pPr>
        <w:spacing w:after="0" w:line="62" w:lineRule="exact"/>
        <w:rPr>
          <w:sz w:val="20"/>
          <w:szCs w:val="20"/>
          <w:color w:val="auto"/>
        </w:rPr>
      </w:pPr>
    </w:p>
    <w:p>
      <w:pPr>
        <w:ind w:left="500" w:right="48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of $12.6 million in clinical trials costs, primarily due to Phase 3 trials for pamrevlumab and roxadustat post-approval safety studies in China;</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of $4.9 million in drug development expenses associated with drug substance and drug product manufacturing activities primarily related to pamrevlumab;</w:t>
      </w:r>
    </w:p>
    <w:p>
      <w:pPr>
        <w:spacing w:after="0" w:line="62"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of $2.6 million in outside services due to higher consulting expenses and higher scientific contract activities related to pamrevlumab Phase 3; and</w:t>
      </w:r>
    </w:p>
    <w:p>
      <w:pPr>
        <w:spacing w:after="0" w:line="62"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Decrease of $3.0 million in stock-based compensation expense, primarily due to cancellation related to departure of certain senior level employees and lower stock price, partially offset by the cumulative impact of stock option grant activities expensed in the normal course.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Research and development expenses increased $98.3 million, or 56% for the nine months ended September 30, 2021, compared to the same period a year ago, as a result of the net effect of the following:</w:t>
      </w:r>
    </w:p>
    <w:p>
      <w:pPr>
        <w:spacing w:after="0" w:line="62" w:lineRule="exact"/>
        <w:rPr>
          <w:sz w:val="20"/>
          <w:szCs w:val="20"/>
          <w:color w:val="auto"/>
        </w:rPr>
      </w:pPr>
    </w:p>
    <w:p>
      <w:pPr>
        <w:ind w:left="500" w:right="46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of $35.4 million in clinical trials costs, primarily due to Phase 3 trials for pamrevlumab and roxadustat post-approval safety studies in China;</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 of $25.0 million for acquired in-process research and development asset from HiFiBiO;</w:t>
      </w:r>
    </w:p>
    <w:p>
      <w:pPr>
        <w:spacing w:after="0" w:line="117"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of $24.9 million in drug development expenses associated with drug substance and drug product manufacturing activities primarily related to pamrevlumab;</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of $8.1 million in employee-related costs primarily due to higher headcount in the research and development functions and generally higher compensation levels; and</w:t>
      </w:r>
    </w:p>
    <w:p>
      <w:pPr>
        <w:spacing w:after="0" w:line="62"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of $6.4 million in outside services due to higher consulting expenses related to roxadustat in China and higher scientific contract activities related to pamrevlumab Phase 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started to incur sales and marketing expenses in 2019 in China to prepare for commercial operations. 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associated with our commercialization efforts in China, recruiting fees and expenses associated with obtaining and maintaining patents. Following the CRL for roxadustat in the U.S., we are implementing a cost reduction effort, and as a result, SG&amp;A expenses may decrease in certain areas in the near future.</w:t>
      </w:r>
    </w:p>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SG&amp;A expenses increased $74.8 million, or 153% for the three months ended September 30, 2021, compared to the same period a year ago, as a result of the net effect of the following:</w:t>
      </w:r>
    </w:p>
    <w:p>
      <w:pPr>
        <w:spacing w:after="0" w:line="62" w:lineRule="exact"/>
        <w:rPr>
          <w:sz w:val="20"/>
          <w:szCs w:val="20"/>
          <w:color w:val="auto"/>
        </w:rPr>
      </w:pPr>
    </w:p>
    <w:p>
      <w:pPr>
        <w:jc w:val="both"/>
        <w:ind w:left="500" w:right="300" w:hanging="492"/>
        <w:spacing w:after="0" w:line="311"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 of $75.6 million in outside service expenses, due to the reversal in the prior year period, as discussed under Financial Highlight section, based on a change in the calculation of co-promotion expenses with AstraZeneca in the third quarter of 2020, offset by the fact that AstraZeneca now bills the co-promotion expenses to Falikang and to FibroGen Beijing, respectively, for its services provided to the respective entity in 2021;</w:t>
      </w:r>
    </w:p>
    <w:p>
      <w:pPr>
        <w:spacing w:after="0" w:line="40" w:lineRule="exact"/>
        <w:rPr>
          <w:rFonts w:ascii="Arial" w:cs="Arial" w:eastAsia="Arial" w:hAnsi="Arial"/>
          <w:sz w:val="16"/>
          <w:szCs w:val="16"/>
          <w:color w:val="auto"/>
        </w:rPr>
      </w:pPr>
    </w:p>
    <w:p>
      <w:pPr>
        <w:ind w:left="500" w:hanging="492"/>
        <w:spacing w:after="0" w:line="34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 of $2.7 million in facilities-related expense due to higher repair and general maintenance expenses and higher lease expenses resulting from the lease modification of our San Francisco property lease from a finance lease to operating lease during the second quarter of 2021; and</w:t>
      </w:r>
    </w:p>
    <w:p>
      <w:pPr>
        <w:spacing w:after="0" w:line="15" w:lineRule="exact"/>
        <w:rPr>
          <w:rFonts w:ascii="Arial" w:cs="Arial" w:eastAsia="Arial" w:hAnsi="Arial"/>
          <w:sz w:val="16"/>
          <w:szCs w:val="16"/>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 of $5.0 million in legal expenses primarily associated with the patent-related activities in the United Kingdom.</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SG&amp;A expenses increased $25.0 million, or 39% for the nine months ended September 30, 2021, compared to the same period a year ago, as a result of the net effect of the following:</w:t>
      </w:r>
    </w:p>
    <w:p>
      <w:pPr>
        <w:spacing w:after="0" w:line="62" w:lineRule="exact"/>
        <w:rPr>
          <w:sz w:val="20"/>
          <w:szCs w:val="20"/>
          <w:color w:val="auto"/>
        </w:rPr>
      </w:pPr>
    </w:p>
    <w:p>
      <w:pPr>
        <w:ind w:left="50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of $16.1 million in outside service expenses, due to the above-mentioned reversal in the prior year period in the third quarter of 2020, offset by the fact that AstraZeneca now bills the co-promotion expenses to Falikang and to FibroGen Beijing, respectively, for its services provided to the respective entity in 2021;</w:t>
      </w:r>
    </w:p>
    <w:p>
      <w:pPr>
        <w:spacing w:after="0" w:line="75"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Increase of $5.2 million in facilities-related expense due to higher repair and general maintenance expenses and higher lease expenses resulting from the lease modification of our San Francisco property lease from a finance lease to operating lease during the second quarter of 2021;</w:t>
      </w:r>
    </w:p>
    <w:p>
      <w:pPr>
        <w:spacing w:after="0" w:line="15" w:lineRule="exact"/>
        <w:rPr>
          <w:rFonts w:ascii="Arial" w:cs="Arial" w:eastAsia="Arial" w:hAnsi="Arial"/>
          <w:sz w:val="16"/>
          <w:szCs w:val="16"/>
          <w:color w:val="auto"/>
        </w:rPr>
      </w:pPr>
    </w:p>
    <w:p>
      <w:pPr>
        <w:ind w:left="500" w:right="68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of $4.3 million in employee-related costs primarily due to higher headcount in the general and administrative functions and higher compensation levels;</w:t>
      </w:r>
    </w:p>
    <w:p>
      <w:pPr>
        <w:spacing w:after="0" w:line="62" w:lineRule="exact"/>
        <w:rPr>
          <w:rFonts w:ascii="Arial" w:cs="Arial" w:eastAsia="Arial" w:hAnsi="Arial"/>
          <w:sz w:val="18"/>
          <w:szCs w:val="18"/>
          <w:color w:val="auto"/>
        </w:rPr>
      </w:pPr>
    </w:p>
    <w:p>
      <w:pPr>
        <w:ind w:left="500" w:right="22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of $3.2 million in stock-based compensation expense, primarily due to the cumulative impact of stock option grant activities expensed in the normal course;</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of $2.4 million in professional service fees;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 of $6.6 million in legal expenses primarily associated with the patent-related activities in the United Kingdom.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7"/>
              </w:rPr>
              <w:t>Nine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5"/>
          </w:tcPr>
          <w:p>
            <w:pPr>
              <w:jc w:val="right"/>
              <w:ind w:right="401"/>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(109)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471</w:t>
            </w:r>
          </w:p>
        </w:tc>
        <w:tc>
          <w:tcPr>
            <w:tcW w:w="2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(965)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(1,864)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899</w:t>
            </w:r>
          </w:p>
        </w:tc>
        <w:tc>
          <w:tcPr>
            <w:tcW w:w="3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Interest income and other income (expenses), net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(1,303)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94"/>
              </w:rPr>
              <w:t>(2,785)</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(188) %</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(2,120)</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(7,412)</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88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(2,314</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(257)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(6,513</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Interest expense decreased $0.5 million, or 81% for the three months ended September 30, 2021, and $0.9 million, or 48% for the nine months ended September 30, 2021 compared to the same periods a year ago. The decrease was primarily due to the lease amendment effective June 1, 2021, related to our long-term property lease in San Francisco, was determined as a lease modification and classified as an operating lease, as compared to a finance lease before the lease modification. In addition, the new lease agreement effective in February 2021 for our long-term property lease in China was classified as an operating lease, as compared to a finance lease for the expired lease. The classification for both leases no longer trigger recognition of interest on the lease liabilities separately in the condensed statement of operations. See Note 5, </w:t>
      </w:r>
      <w:r>
        <w:rPr>
          <w:rFonts w:ascii="Arial" w:cs="Arial" w:eastAsia="Arial" w:hAnsi="Arial"/>
          <w:sz w:val="16"/>
          <w:szCs w:val="16"/>
          <w:i w:val="1"/>
          <w:iCs w:val="1"/>
          <w:color w:val="auto"/>
        </w:rPr>
        <w:t>Leases</w:t>
      </w:r>
      <w:r>
        <w:rPr>
          <w:rFonts w:ascii="Arial" w:cs="Arial" w:eastAsia="Arial" w:hAnsi="Arial"/>
          <w:sz w:val="16"/>
          <w:szCs w:val="16"/>
          <w:color w:val="auto"/>
        </w:rPr>
        <w:t>, to the condensed consolidated financial statements for details.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Income (Expenses), Net</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p>
    <w:p>
      <w:pPr>
        <w:spacing w:after="0" w:line="184"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Interest income and other income (expenses), net decreased $2.8 million, or 188% for the three months ended September 30, 2021, and $7.4 million, or 140% for the nine months ended September 30, 2021 compared to the same periods a year ago, primarily due to lower interest earned on our cash, cash equivalents and investments associated with the lower interest rates, as well as unfavorable foreign exchange impacts.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3"/>
          </w:tcPr>
          <w:p>
            <w:pPr>
              <w:jc w:val="right"/>
              <w:ind w:right="277"/>
              <w:spacing w:after="0"/>
              <w:rPr>
                <w:sz w:val="20"/>
                <w:szCs w:val="20"/>
                <w:color w:val="auto"/>
              </w:rPr>
            </w:pPr>
            <w:r>
              <w:rPr>
                <w:rFonts w:ascii="Arial" w:cs="Arial" w:eastAsia="Arial" w:hAnsi="Arial"/>
                <w:sz w:val="14"/>
                <w:szCs w:val="14"/>
                <w:b w:val="1"/>
                <w:bCs w:val="1"/>
                <w:color w:val="auto"/>
                <w:w w:val="98"/>
              </w:rPr>
              <w:t>Three Months Ended September 30,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56"/>
        </w:trPr>
        <w:tc>
          <w:tcPr>
            <w:tcW w:w="44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777"/>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r>
      <w:tr>
        <w:trPr>
          <w:trHeight w:val="155"/>
        </w:trPr>
        <w:tc>
          <w:tcPr>
            <w:tcW w:w="4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60" w:type="dxa"/>
            <w:vAlign w:val="bottom"/>
            <w:gridSpan w:val="5"/>
          </w:tcPr>
          <w:p>
            <w:pPr>
              <w:jc w:val="right"/>
              <w:ind w:right="1097"/>
              <w:spacing w:after="0" w:line="155" w:lineRule="exact"/>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49,562</w:t>
            </w:r>
          </w:p>
        </w:tc>
        <w:tc>
          <w:tcPr>
            <w:tcW w:w="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33,232</w:t>
            </w:r>
          </w:p>
        </w:tc>
        <w:tc>
          <w:tcPr>
            <w:tcW w:w="3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237"/>
              <w:spacing w:after="0"/>
              <w:rPr>
                <w:sz w:val="20"/>
                <w:szCs w:val="20"/>
                <w:color w:val="auto"/>
              </w:rPr>
            </w:pPr>
            <w:r>
              <w:rPr>
                <w:rFonts w:ascii="Arial" w:cs="Arial" w:eastAsia="Arial" w:hAnsi="Arial"/>
                <w:sz w:val="18"/>
                <w:szCs w:val="18"/>
                <w:color w:val="auto"/>
              </w:rPr>
              <w:t>(156,374)</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(130,454)</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297"/>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400" w:type="dxa"/>
            <w:vAlign w:val="bottom"/>
          </w:tcPr>
          <w:p>
            <w:pPr>
              <w:spacing w:after="0"/>
              <w:rPr>
                <w:sz w:val="19"/>
                <w:szCs w:val="19"/>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Effective tax rate</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(0.2) %</w:t>
            </w:r>
          </w:p>
        </w:tc>
        <w:tc>
          <w:tcPr>
            <w:tcW w:w="4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for the three and nine months ended September 30, 2021 and 2020 were primarily due to foreign taxes.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we have established and continue to maintain a full valuation allowance against our net deferred tax assets as we do not currently believe that realization of those assets is more likely than not.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in Unconsolidated Variable Interest Entity</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Investment income (loss) in unconsolidated variable interest entity (“VIE”) represented our proportionate share of the reported profits or losses of Falikang, an unconsolidated VIE accounted for under the equity method, and was immaterial for the three and nine months ended September 30, 2021 and 2020. See Note 3, </w:t>
      </w:r>
      <w:r>
        <w:rPr>
          <w:rFonts w:ascii="Arial" w:cs="Arial" w:eastAsia="Arial" w:hAnsi="Arial"/>
          <w:sz w:val="18"/>
          <w:szCs w:val="18"/>
          <w:i w:val="1"/>
          <w:iCs w:val="1"/>
          <w:color w:val="auto"/>
        </w:rPr>
        <w:t>Variable Interest Entity</w:t>
      </w:r>
      <w:r>
        <w:rPr>
          <w:rFonts w:ascii="Arial" w:cs="Arial" w:eastAsia="Arial" w:hAnsi="Arial"/>
          <w:sz w:val="18"/>
          <w:szCs w:val="18"/>
          <w:color w:val="auto"/>
        </w:rPr>
        <w:t>, to the condensed consolidated financial statements for details.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collaboration agreements involving license payments, milestones and reimbursement for development services.</w:t>
      </w:r>
    </w:p>
    <w:p>
      <w:pPr>
        <w:spacing w:after="0" w:line="1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As of September 30, 2021, we had cash and cash equivalents of $274.5 million. Cash is invested in accordance with our investment policy, primarily with a view to liquidity and capital preservation. Investments, consisting of available-for-sale debt investments and marketable equity investments, and stated at fair value, are also available as a source of liquidity. As of September 30, 2021, we had short-term and long-term investments of $211.9 million and $142.6 million, respectively. As of September 30, 2021, a total of $77.4 million of our cash and cash equivalents was held outside of the U.S. in our foreign subsidiaries, including $56.0 million of our cash and cash equivalents is held in China, to be used primarily for our China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the third quarter of 2019, we started generating revenue from commercial sales of roxadustat product in China. Even with the expectation of increases in revenue from product sales, we anticipate that we will continue to generate losses for the foreseeable future. Following the CRL for roxadustat in the U.S., we are implementing a cost reduction effort, and as a result, operating expenses may decrease in certain areas in the near future. To date, we have funded certain portions of our research and development and manufacturing efforts globally through collaboration partners, government support, and capital investment. There is no guarantee that sufficient funds will be available to continue to fund these development efforts through commercialization or otherwise. Although AstraZeneca is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such as from the COVID-19 pandemic or other factors outlined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anticipate that we will need substantial additional funding in connection with our continuing operations.</w:t>
      </w:r>
    </w:p>
    <w:p>
      <w:pPr>
        <w:spacing w:after="0" w:line="1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our existing cash and cash equivalents, short-term and long-term investments and accounts receivable will be sufficient to meet our anticipated cash requirements for at least the next 12 months from the date of this Quarterly Report on Form 10-Q.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primary sources and uses of cash and cash equivalents for each of the periods set forth below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800" w:type="dxa"/>
            <w:vAlign w:val="bottom"/>
            <w:tcBorders>
              <w:bottom w:val="single" w:sz="8" w:color="CFF0FC"/>
            </w:tcBorders>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22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(27,272)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88,830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(376,405)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308,719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Effect of exchange rate changes on cash and cash equivalents</w:t>
            </w:r>
          </w:p>
        </w:tc>
        <w:tc>
          <w:tcPr>
            <w:tcW w:w="19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Net increase (decrease) in cash and cash equivalents</w:t>
            </w:r>
          </w:p>
        </w:tc>
        <w:tc>
          <w:tcPr>
            <w:tcW w:w="194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406,202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40" w:type="dxa"/>
            <w:vAlign w:val="bottom"/>
            <w:vMerge w:val="restart"/>
          </w:tcPr>
          <w:p>
            <w:pPr>
              <w:jc w:val="right"/>
              <w:ind w:right="1510"/>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Net cash used in operating activities was $27.3 million for the nine months ended September 30, 2021 and consisted primarily of net loss of $155.9 million adjusted for non-operating cash items of $92.4 million, offset by a net increase in operating assets and liabilities of $36.3 million. The significant non-operating cash items included stock-based compensation expense of $54.1 million, expense for acquired in-process research and development asset from HiFiBiO of $25.0 million, depreciation expense of $7.7 million and amortization of finance lease right-of-use assets of $4.5 million. The significant items in the changes in operating assets and liabilities included the increases resulting from the following:</w:t>
      </w:r>
    </w:p>
    <w:p>
      <w:pPr>
        <w:spacing w:after="0" w:line="68" w:lineRule="exact"/>
        <w:rPr>
          <w:sz w:val="20"/>
          <w:szCs w:val="20"/>
          <w:color w:val="auto"/>
        </w:rPr>
      </w:pPr>
    </w:p>
    <w:p>
      <w:pPr>
        <w:ind w:left="500" w:right="40" w:hanging="492"/>
        <w:spacing w:after="0" w:line="255"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Deferred revenue of $40.7 million, primarily related to the above-mentioned $11.8 million and $11.2 million of the deferred considerations of the bulk drug product shipped to Astellas and AstraZeneca, respectively, due to a high degree of uncertainty associated with the final consideration, and $18.1 million of the deferred revenue from the sales to Falikang associated with the China performance obligation. The change in deferred revenue was also driven by the extension of the estimated future non-contingent development period and recognition of revenues under our collaboration agreements with Astellas and AstraZeneca. See Note 2,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to the condensed consolidated financial statements for details;</w:t>
      </w:r>
    </w:p>
    <w:p>
      <w:pPr>
        <w:spacing w:after="0" w:line="84"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Accrued and other liabilities of $32.0 million, primarily driven by the timing of invoicing and payment; and</w:t>
      </w:r>
    </w:p>
    <w:p>
      <w:pPr>
        <w:spacing w:after="0" w:line="117" w:lineRule="exact"/>
        <w:rPr>
          <w:rFonts w:ascii="Arial" w:cs="Arial" w:eastAsia="Arial" w:hAnsi="Arial"/>
          <w:sz w:val="18"/>
          <w:szCs w:val="18"/>
          <w:color w:val="auto"/>
        </w:rPr>
      </w:pPr>
    </w:p>
    <w:p>
      <w:pPr>
        <w:ind w:left="500" w:right="320" w:hanging="492"/>
        <w:spacing w:after="0" w:line="308"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Accounts receivable of $6.1 million, primarily driven by the timing of the receipt of upfront payments and the recognition of revenues under our collaboration agreements with Astellas and AstraZeneca, as well as the collection from our distributors and Falikang.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17" w:lineRule="exact"/>
        <w:rPr>
          <w:sz w:val="20"/>
          <w:szCs w:val="20"/>
          <w:color w:val="auto"/>
        </w:rPr>
      </w:pPr>
    </w:p>
    <w:p>
      <w:pPr>
        <w:ind w:left="500" w:right="680" w:hanging="492"/>
        <w:spacing w:after="0" w:line="308"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long-term liabilities of $14.2 million, primarily due to the decrease in the co-promotional expenses with AstraZeneca for its sales and marketing efforts related to the commercial launch of roxadustat in China that are not expected to be paid in the next year;</w:t>
      </w:r>
    </w:p>
    <w:p>
      <w:pPr>
        <w:spacing w:after="0" w:line="38" w:lineRule="exact"/>
        <w:rPr>
          <w:rFonts w:ascii="Arial" w:cs="Arial" w:eastAsia="Arial" w:hAnsi="Arial"/>
          <w:sz w:val="17"/>
          <w:szCs w:val="17"/>
          <w:color w:val="auto"/>
        </w:rPr>
      </w:pPr>
    </w:p>
    <w:p>
      <w:pPr>
        <w:ind w:left="500" w:right="82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Inventories of $12.7 million, driven by the increased inventory level primarily related to FibroGen Beijing’s productions of roxadustat for commercial sales purposes and pre-launch inventory cost capitalized in the U.S.;</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Prepaid expenses and other current assets of $11.2 million, primarily due to the unbilled upfront license payment from Eluminex of $8.0 million, and prepayments made for roxadustat API manufacturing activities;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assets of $3.6 million, primarily related to the increases in various licenses.</w:t>
      </w:r>
    </w:p>
    <w:p>
      <w:pPr>
        <w:spacing w:after="0" w:line="22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Net cash provided by operating activities was $88.8 million for the nine months ended September 30, 2020 and consisted primarily of net loss of $130.7 million adjusted for non-cash items of $69.4 million, offset by a net increase in operating assets and liabilities of $150.1 million. The significant non-cash items included stock-based compensation expense of $52.5 million, depreciation expense of $8.7 million and amortization of finance lease ROU of $7.9 million. The significant items in the changes in operating assets and liabilities included the increases resulting from the following:</w:t>
      </w:r>
    </w:p>
    <w:p>
      <w:pPr>
        <w:spacing w:after="0" w:line="49" w:lineRule="exact"/>
        <w:rPr>
          <w:sz w:val="20"/>
          <w:szCs w:val="20"/>
          <w:color w:val="auto"/>
        </w:rPr>
      </w:pPr>
    </w:p>
    <w:p>
      <w:pPr>
        <w:ind w:left="500" w:right="200" w:hanging="492"/>
        <w:spacing w:after="0" w:line="255"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Prepaid expenses and other current assets of $121.9 million and Deferred revenue of $45.9 million, primarily related to the billing and receipt of $130.0 million in regulatory milestones under the Europe Agreement with Astellas associated with the Marketing Authorization Application submission in Europe; and the billing and receipt of $50.0 million regulatory milestone under the U.S./RoW Agreement with AstraZeneca associated with the NDA submission for review in the U.S. These milestones were not billable as of December 31, 2019, and was net of the associated deferred revenues of $4.8 million and $50.0 million, respectively. The change in deferred revenue was also driven by the recognition of revenues under our collaboration agreements with Astellas and AstraZeneca;</w:t>
      </w:r>
    </w:p>
    <w:p>
      <w:pPr>
        <w:spacing w:after="0" w:line="84"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assets of $6.9 million, primarily related to the return and consumption of input value added tax by FibroGen Beijing;</w:t>
      </w:r>
    </w:p>
    <w:p>
      <w:pPr>
        <w:spacing w:after="0" w:line="117" w:lineRule="exact"/>
        <w:rPr>
          <w:rFonts w:ascii="Arial" w:cs="Arial" w:eastAsia="Arial" w:hAnsi="Arial"/>
          <w:sz w:val="18"/>
          <w:szCs w:val="18"/>
          <w:color w:val="auto"/>
        </w:rPr>
      </w:pPr>
    </w:p>
    <w:p>
      <w:pPr>
        <w:ind w:left="500" w:right="40" w:hanging="492"/>
        <w:spacing w:after="0" w:line="259"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Accrued and other liabilities of $3.5 million, primarily driven by $14.8 million of the accrued co-promotion expenses at September 30, 2020 that is anticipated to be paid within the next 12 months resulting from the China Amendment in the third quarter of 2020, as well as driven by the timing of invoicing and payment; offset by the payment of $36.3 million that was accrued at December 31, 2019, related to the change in estimated variable consideration associated with the API delivery; and</w:t>
      </w:r>
    </w:p>
    <w:p>
      <w:pPr>
        <w:spacing w:after="0" w:line="78" w:lineRule="exact"/>
        <w:rPr>
          <w:rFonts w:ascii="Arial" w:cs="Arial" w:eastAsia="Arial" w:hAnsi="Arial"/>
          <w:sz w:val="18"/>
          <w:szCs w:val="18"/>
          <w:color w:val="auto"/>
        </w:rPr>
      </w:pPr>
    </w:p>
    <w:p>
      <w:pPr>
        <w:ind w:left="500" w:right="80" w:hanging="492"/>
        <w:spacing w:after="0" w:line="342"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Accounts receivable of $2.5 million, primarily driven by the timing of the receipt of upfront payments and the recognition of revenues under our collaboration agreements with Astellas and AstraZeneca; offset by the increase in accounts receivable from customers in China for roxadustat sales.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17" w:lineRule="exact"/>
        <w:rPr>
          <w:sz w:val="20"/>
          <w:szCs w:val="20"/>
          <w:color w:val="auto"/>
        </w:rPr>
      </w:pPr>
    </w:p>
    <w:p>
      <w:pPr>
        <w:ind w:left="500" w:right="20" w:hanging="492"/>
        <w:spacing w:after="0" w:line="342"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long-term liabilities of $26.6 million, primarily due to the adjustment in long-term co-promotion expenses payable to AstraZeneca for its sales and marketing efforts related to the commercial sales of roxadustat in China resulting from the China Amendment in the third quarter of 2020; and</w:t>
      </w:r>
    </w:p>
    <w:p>
      <w:pPr>
        <w:spacing w:after="0" w:line="15" w:lineRule="exact"/>
        <w:rPr>
          <w:rFonts w:ascii="Arial" w:cs="Arial" w:eastAsia="Arial" w:hAnsi="Arial"/>
          <w:sz w:val="16"/>
          <w:szCs w:val="16"/>
          <w:color w:val="auto"/>
        </w:rPr>
      </w:pPr>
    </w:p>
    <w:p>
      <w:pPr>
        <w:ind w:left="500" w:right="2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Inventories of $5.2 million, driven by the increased inventory level primarily related to FibroGen Beijing’s productions of roxadustat for commercial sales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used in investing activities was $376.4 million for the nine months ended September 30, 2021 and consisted primarily of $397.9 million of cash used in purchases of available-for-sale securities, $25.0 million of cash paid for the acquired in-process research and development asset and $3.8 million of cash used in purchases of property and equipment, partially offset by $46.3 million of proceeds from maturities of investments and $4.0 million of proceeds from sales of available-for-sale securities.</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Net cash provided by investing activities was $308.7 million for the nine months ended September 30, 2020 and consisted primarily of $301.9 million of proceeds from maturities of investments, and $10.6 million of proceeds from sales of available-for-sale securities, partially offset by $2.1 million of purchases of property and equipment and $1.6 million of payment made for investment in Falikang, our unconsolidated VIE.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liabilities and obligations.</w:t>
      </w:r>
    </w:p>
    <w:p>
      <w:pPr>
        <w:spacing w:after="0" w:line="17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Net cash used in financing activities was $0.5 million for the nine months ended September 30, 2021 and consisted primarily of $11.9 million of proceeds from the issuance of common stock upon exercise of stock options and purchases under our Employee Share Purchase Plan (“ESPP”), partially offset by $6.7 million of cash paid for payroll taxes on restricted stock unit releases, and $5.4 million of repayments of finance lease liabilities.</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cash provided by financing activities was $7.7 million for the nine months ended September 30, 2020 and consisted primarily of $26.2 million of proceeds from the issuance of common stock upon exercise of stock options and purchases under our ESPP, partially offset by $9.0 million of cash paid for payroll taxes on restricted stock unit releases, and $9.3 million of repayments of finance lease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three and nine months ended September 30, 2021,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2021, we had $102.3 million of operating lease liabilities. Our finance lease liabilities were immaterial as of September 30, 2021.</w:t>
      </w:r>
    </w:p>
    <w:p>
      <w:pPr>
        <w:spacing w:after="0" w:line="23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As of September 30, 2021, we had outstanding total non-cancelable purchase obligations of $77.4 million, including $22.0 million for manufacture and supply of roxadustat, $46.5 million for manufacture and supply of pamrevlumab, and $8.9 million for other purchases. We expect to fulfill our commitments under these agreements in the normal course of business, and as such, no liability has been recorded.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Some of our license agreements provide for periodic maintenance fees over specified time periods, as well as payments by us upon the achievement of development, regulatory and commercial milestones. As of September 30, 2021, future milestone payments for research and pre-clinical stage development programs consisted of up to approximately $359.1 million in total potential future milestone payments under our license agreements with HiFiBiO (for Galectin-9),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recently issued accounting guidance, see Note 1,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condensed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have been no material changes in our critical accounting policies, estimates and judgments during the three and nine months ended September 30, 2021 compared with the disclosures in Part II, Item 7 of our Annual Report on Form 10-K for the year ended December 31, 2020, except for the updates to the following: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Product revenue, net consists of revenues from sales of roxadustat commercial product to Falikang, and directly to pharmaceutical distributors located in a few provinces in China that are not covered by Falikang. Falikang is jointly owned by AstraZeneca and FibroGen Beijing. We are not the primary beneficiary of Falikang for accounting purposes, as AstraZeneca is the final decision maker for all the roxadustat commercialization activities, and we lack the power criterion to direct the activities of Falikang (see Note 3, </w:t>
      </w:r>
      <w:r>
        <w:rPr>
          <w:rFonts w:ascii="Arial" w:cs="Arial" w:eastAsia="Arial" w:hAnsi="Arial"/>
          <w:sz w:val="16"/>
          <w:szCs w:val="16"/>
          <w:i w:val="1"/>
          <w:iCs w:val="1"/>
          <w:color w:val="auto"/>
        </w:rPr>
        <w:t>Variable Interest Entity,</w:t>
      </w:r>
      <w:r>
        <w:rPr>
          <w:rFonts w:ascii="Arial" w:cs="Arial" w:eastAsia="Arial" w:hAnsi="Arial"/>
          <w:sz w:val="16"/>
          <w:szCs w:val="16"/>
          <w:color w:val="auto"/>
        </w:rPr>
        <w:t xml:space="preserve"> to the condensed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Falikang became fully operational in January 2021, at which time FibroGen Beijing began selling roxadustat commercial product to Falikang. Falikang is FibroGen Beijing’s primary customer in China and substantially all roxadustat product sales to distributors in China are made by Falikang. Falikang bears inventory risk once it receives and accepts the product from FibroGen Beijing, and is responsible for delivering product to its distributors.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promises identified under the AstraZeneca China Agreement, including the license, co-development services and manufacturing of commercial supplies have been bundled into the China performance obligation. Amounts of the transaction price allocable to this performance obligation under our agreements with AstraZeneca are deferred until control of the manufactured commercial product is transferred to AstraZeneca.</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initiation of roxadustat sales to Falikang marked the beginning of the China performance obligation</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is recognized at a point in time when control of roxadustat commercial product is transferred to Falikang. Revenue is recognized based on the estimated transaction price per unit and actual quantity of product delivered during the reporting period. Specifically, the transaction price per unit is determined based on the overall transaction price over the total estimated sales quantity for the estimated performance period in which we believe those sales would occur. The price per unit is subject to reassessment on a quarterly basis, which may result in cumulative catch up adjustments due to changes in estimates.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overall transaction price for FibroGen Beijing’s product sales to Falikang includes the following elements of consideration:</w:t>
      </w:r>
    </w:p>
    <w:p>
      <w:pPr>
        <w:spacing w:after="0" w:line="117" w:lineRule="exact"/>
        <w:rPr>
          <w:sz w:val="20"/>
          <w:szCs w:val="20"/>
          <w:color w:val="auto"/>
        </w:rPr>
      </w:pPr>
    </w:p>
    <w:p>
      <w:pPr>
        <w:ind w:left="380" w:hanging="372"/>
        <w:spacing w:after="0" w:line="27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Non-refundable upfront license fees; development, regulatory, and commercial milestone payments based on the China Agreement allocated to the China performance obligation;</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Co-development billings resulting from our research and development efforts, which are reimbursable under the China Agreement;</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Interim profit/loss share between FibroGen Beijing and AstraZeneca from April 1, 2020 through December 31, 2020; and</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transfer price from product sales to Falikang from January 1, 2021 onwards. The net transfer price includes the following elements:</w:t>
      </w:r>
    </w:p>
    <w:p>
      <w:pPr>
        <w:spacing w:after="0" w:line="117" w:lineRule="exact"/>
        <w:rPr>
          <w:rFonts w:ascii="Arial" w:cs="Arial" w:eastAsia="Arial" w:hAnsi="Arial"/>
          <w:sz w:val="18"/>
          <w:szCs w:val="18"/>
          <w:color w:val="auto"/>
        </w:rPr>
      </w:pPr>
    </w:p>
    <w:p>
      <w:pPr>
        <w:ind w:left="740" w:right="200" w:hanging="365"/>
        <w:spacing w:after="0" w:line="245"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Gross transfer price: The gross transfer price is based on a percentage of Falikang’s net sales to its distributors, which takes into account</w:t>
      </w:r>
      <w:r>
        <w:rPr>
          <w:rFonts w:ascii="Courier New" w:cs="Courier New" w:eastAsia="Courier New" w:hAnsi="Courier New"/>
          <w:sz w:val="18"/>
          <w:szCs w:val="18"/>
          <w:color w:val="auto"/>
        </w:rPr>
        <w:t xml:space="preserve"> </w:t>
      </w:r>
      <w:r>
        <w:rPr>
          <w:rFonts w:ascii="Arial" w:cs="Arial" w:eastAsia="Arial" w:hAnsi="Arial"/>
          <w:sz w:val="18"/>
          <w:szCs w:val="18"/>
          <w:color w:val="auto"/>
        </w:rPr>
        <w:t>Falikang’s operating expenses and its payments to AstraZeneca for roxadustat sales and marketing efforts, capped at a percentage of Falikang’s net roxadustat sales.</w:t>
      </w:r>
    </w:p>
    <w:p>
      <w:pPr>
        <w:spacing w:after="0" w:line="89" w:lineRule="exact"/>
        <w:rPr>
          <w:rFonts w:ascii="Arial" w:cs="Arial" w:eastAsia="Arial" w:hAnsi="Arial"/>
          <w:sz w:val="18"/>
          <w:szCs w:val="18"/>
          <w:color w:val="auto"/>
        </w:rPr>
      </w:pPr>
    </w:p>
    <w:p>
      <w:pPr>
        <w:ind w:left="740" w:right="40" w:hanging="365"/>
        <w:spacing w:after="0" w:line="300" w:lineRule="auto"/>
        <w:rPr>
          <w:rFonts w:ascii="Arial" w:cs="Arial" w:eastAsia="Arial" w:hAnsi="Arial"/>
          <w:sz w:val="18"/>
          <w:szCs w:val="18"/>
          <w:color w:val="auto"/>
        </w:rPr>
      </w:pPr>
      <w:r>
        <w:rPr>
          <w:rFonts w:ascii="Courier New" w:cs="Courier New" w:eastAsia="Courier New" w:hAnsi="Courier New"/>
          <w:sz w:val="16"/>
          <w:szCs w:val="16"/>
          <w:color w:val="auto"/>
        </w:rPr>
        <w:t xml:space="preserve">o </w:t>
      </w:r>
      <w:r>
        <w:rPr>
          <w:rFonts w:ascii="Arial" w:cs="Arial" w:eastAsia="Arial" w:hAnsi="Arial"/>
          <w:sz w:val="16"/>
          <w:szCs w:val="16"/>
          <w:color w:val="auto"/>
        </w:rPr>
        <w:t>Profit share: The gross transfer price is then adjusted for an estimated amount to achieve the 50/50 profit share from current period roxadustat net</w:t>
      </w:r>
      <w:r>
        <w:rPr>
          <w:rFonts w:ascii="Courier New" w:cs="Courier New" w:eastAsia="Courier New" w:hAnsi="Courier New"/>
          <w:sz w:val="16"/>
          <w:szCs w:val="16"/>
          <w:color w:val="auto"/>
        </w:rPr>
        <w:t xml:space="preserve"> </w:t>
      </w:r>
      <w:r>
        <w:rPr>
          <w:rFonts w:ascii="Arial" w:cs="Arial" w:eastAsia="Arial" w:hAnsi="Arial"/>
          <w:sz w:val="16"/>
          <w:szCs w:val="16"/>
          <w:color w:val="auto"/>
        </w:rPr>
        <w:t>sales in China. The adjustments to date have been a reduction to the transfer price and the related accounts receivable from Falikang.</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non-refundable upfront license fees constitute a fixed consideration. The remainder of the above are variable consideration components, which may be constrained, and included in the transaction price only to the extent that it is probable that a significant reversal in the amount of the cumulative revenue recognized will not occur in a future period when the uncertainty associated with the variable consideration is subsequently resolved. The calculation of the above variable consideration includes key estimates such as total sales quantity, performance period, gross transfer price and profit share, which require a substantial degree of judgment.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net transfer price in excess of the revenue recognized is deferred, and will be recognized over future periods as the performance obligations are satisfied.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 to Distributors</w:t>
      </w:r>
    </w:p>
    <w:p>
      <w:pPr>
        <w:spacing w:after="0" w:line="11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We sell roxadustat in China directly to a number of pharmaceutical distributors located in a few provinces in China that are not covered by Falikang. These pharmaceutical distributors are our customers. Hospitals order roxadustat through a distributor and we ship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that we expect to be entitled to in exchange for the product.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period between the transfer of control of the promised goods and when we receive payment is based on 60-day payment terms. As such, product revenue is not adjusted for the effects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recorded at the net sales prices that includes the following estimates of variable consideration:</w:t>
      </w:r>
    </w:p>
    <w:p>
      <w:pPr>
        <w:spacing w:after="0" w:line="117" w:lineRule="exact"/>
        <w:rPr>
          <w:sz w:val="20"/>
          <w:szCs w:val="20"/>
          <w:color w:val="auto"/>
        </w:rPr>
      </w:pPr>
    </w:p>
    <w:p>
      <w:pPr>
        <w:jc w:val="both"/>
        <w:ind w:left="740" w:hanging="368"/>
        <w:spacing w:after="0" w:line="311" w:lineRule="auto"/>
        <w:tabs>
          <w:tab w:leader="none" w:pos="7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Price adjustment: When China’s National Healthcare Security Administration releases price guidance for roxadustat under the National Reimbursement Drug List, any channel inventories that have not been sold through by distributors, or to patients by hospitals and retailers, would be eligible for a price adjustment under the price protection. The price adjustment is calculated based on estimated channel inventory levels;</w:t>
      </w:r>
    </w:p>
    <w:p>
      <w:pPr>
        <w:spacing w:after="0" w:line="40" w:lineRule="exact"/>
        <w:rPr>
          <w:rFonts w:ascii="Arial" w:cs="Arial" w:eastAsia="Arial" w:hAnsi="Arial"/>
          <w:sz w:val="16"/>
          <w:szCs w:val="16"/>
          <w:color w:val="auto"/>
        </w:rPr>
      </w:pPr>
    </w:p>
    <w:p>
      <w:pPr>
        <w:jc w:val="both"/>
        <w:ind w:left="740" w:hanging="368"/>
        <w:spacing w:after="0" w:line="263"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Contractual sales rebate: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75" w:lineRule="exact"/>
        <w:rPr>
          <w:rFonts w:ascii="Arial" w:cs="Arial" w:eastAsia="Arial" w:hAnsi="Arial"/>
          <w:sz w:val="18"/>
          <w:szCs w:val="18"/>
          <w:color w:val="auto"/>
        </w:rPr>
      </w:pPr>
    </w:p>
    <w:p>
      <w:pPr>
        <w:jc w:val="both"/>
        <w:ind w:left="740" w:hanging="368"/>
        <w:spacing w:after="0" w:line="279"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Non-key account hospital listing award: A one-time fixed-amount award is offered to a distributor who successfully lists the product with an eligible hospital, and who meets certain requirements. We consider this particular award to be an upfront payment to a customer within the definitions of the ASC 606. The non-key account hospital listing award is capitalized when the distributor meets eligibility requirements, and amortized as reduction to product revenue over future sales orders made by the distributor until exhausted;</w:t>
      </w:r>
    </w:p>
    <w:p>
      <w:pPr>
        <w:spacing w:after="0" w:line="63" w:lineRule="exact"/>
        <w:rPr>
          <w:rFonts w:ascii="Arial" w:cs="Arial" w:eastAsia="Arial" w:hAnsi="Arial"/>
          <w:sz w:val="17"/>
          <w:szCs w:val="17"/>
          <w:color w:val="auto"/>
        </w:rPr>
      </w:pPr>
    </w:p>
    <w:p>
      <w:pPr>
        <w:ind w:left="740" w:hanging="368"/>
        <w:spacing w:after="0" w:line="308"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Other discounts and rebates, including key account hospital sales rebate and transfer fee discount, are generally based on a percentage of eligible gross sales made by the distributor and recorded as a reduction to revenue at the point of sale to the distributor; and</w:t>
      </w:r>
    </w:p>
    <w:p>
      <w:pPr>
        <w:spacing w:after="0" w:line="38" w:lineRule="exact"/>
        <w:rPr>
          <w:rFonts w:ascii="Arial" w:cs="Arial" w:eastAsia="Arial" w:hAnsi="Arial"/>
          <w:sz w:val="17"/>
          <w:szCs w:val="17"/>
          <w:color w:val="auto"/>
        </w:rPr>
      </w:pPr>
    </w:p>
    <w:p>
      <w:pPr>
        <w:ind w:left="740" w:hanging="368"/>
        <w:spacing w:after="0" w:line="277"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returns: Distributors can request to return product to us only due to quality issues or for product purchased within one year prior to the product’s expiration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substantial degree of judgment.</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and in the same period that the related revenue is recorded. Due to the distributor’s legal right to offset, at each balance sheet date, the liability for rebates and discounts are presented as reductions of gross accounts receivable from the distributor, or as a current liability to the distributor to the extent that the total amount exceeds the gross accounts receivable or when we expect to settle the discount in cash. The distributor’s legal right of offset is calculated at the individual distributor level.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During the three and nine months ended September 30, 2021, we believe there were no material changes to our exposure to market risks as set forth in Part II,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in our Annual Report on Form 10-K for the year ended December 31,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of September 30, 2021,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Based on our evaluation, the Chief Executive Officer and Chief Financial Officer have concluded that our disclosure controls and procedures were not effective as of September 30, 2021 because of the material weaknesses in our internal control over financial reporting described below.</w:t>
      </w:r>
    </w:p>
    <w:p>
      <w:pPr>
        <w:spacing w:after="0" w:line="12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September 30, 2020, we have identified a material weakness in the risk assessment component of internal control as we did not appropriately design and maintain an effective risk assessment process at a precise enough level to identify new and evolving risks of material misstatement to the financial statements as a result of changes in our business operations. This material weakness gave rise to the following additional control deficiencies, which we also determined to be material weaknesses. We did not design and maintain effective controls related to the timely identification of shipments associated with drug product revenue, and we did not design and maintain effective controls related to the timely identification of changes in estimated variable consideration related to drug product revenue.</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Each of these material weaknesses could result in material misstatements in the drug product revenue, contract asset or contract liability account balances or disclosures in our annual or interim consolidated financial statements that would not be prevented or detected.</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material weaknesses described above did not result in any material misstatements of our consolidated financial statements or disclosures, but did result in immaterial out-of-period adjustments to drug product revenue related to pre-commercial shipments of drug product, contract assets and contract liabilities, and related financial statement disclosures during the quarter ended September 30,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and Status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and management are committed to maintaining a strong internal control environment. We have developed a detailed remediation plan and we continue to make progress in what has been a multi-step process to fully remediate the material weaknesses described above. Specifically, as of September 30, 2021, we have continued with the remediation steps that were initiated in the fourth quarter of 2020, including, but not limited to, the following:</w:t>
      </w:r>
    </w:p>
    <w:p>
      <w:pPr>
        <w:spacing w:after="0" w:line="187" w:lineRule="exact"/>
        <w:rPr>
          <w:sz w:val="20"/>
          <w:szCs w:val="20"/>
          <w:color w:val="auto"/>
        </w:rPr>
      </w:pPr>
    </w:p>
    <w:p>
      <w:pPr>
        <w:ind w:left="380" w:right="80" w:hanging="372"/>
        <w:spacing w:after="0" w:line="253"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the quarter, we finalized the implementation of a comprehensive annual risk assessment process, and will continue to refine our risk assessment, as necessary, to identify and design our control activities related to the above-mentioned material weaknesses. In addition, we continue to assess risks on a continuous basis to timely identify new exposures or risk categories as business practices change and, as applicable, update our existing internal control framework to ensure that it has identified, developed and deployed the appropriate business process controls to meet the objectives and address the risks identified.</w:t>
      </w:r>
    </w:p>
    <w:p>
      <w:pPr>
        <w:spacing w:after="0" w:line="3" w:lineRule="exact"/>
        <w:rPr>
          <w:rFonts w:ascii="Arial" w:cs="Arial" w:eastAsia="Arial" w:hAnsi="Arial"/>
          <w:sz w:val="18"/>
          <w:szCs w:val="18"/>
          <w:color w:val="auto"/>
        </w:rPr>
      </w:pPr>
    </w:p>
    <w:p>
      <w:pPr>
        <w:ind w:left="380" w:right="300" w:hanging="372"/>
        <w:spacing w:after="0" w:line="260"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identified and designed new controls and procedures associated with drug product revenue, and where applicable, have implemented new procedures and controls during the fourth quarter of 2020 and the first three quarters of 2021.</w:t>
      </w:r>
    </w:p>
    <w:p>
      <w:pPr>
        <w:spacing w:after="0" w:line="18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material weaknesses will not be considered remediated until the applicable controls operate for a sufficient period of time and management has concluded, through testing, that these controls are operating effectively. We believe the measures described above will remediate these material weaknesses and strengthen our internal control over financial reporting. As we continue to evaluate and work to remediate these material weaknesses, we may determine to take additional measures to address these deficiencies or determine to modify certain of the remediation measures described above.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Besides the new procedures and controls implemented to date as described above, there were no changes in our internal control over financial reporting that occurred during the three months ended September 30, 2021 that have materially affected, or are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 party to various legal actions that arose in the ordinary course of our business. We recognize accruals for any legal action when we conclude that a loss is probable and reasonably estimable. We did not have any material accruals for any currently active legal action in our consolidated balance sheets as of September 30, 2021, as we could not predict the ultimate outcome of these matters, or reasonably estimate the potential exposure.</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April 2021, three putative securities class action complaints were filed against FibroGen and certain of its current and former executive officers (collectively, the “Defendants”) in the United States (“U.S.”) District Court for the Northern District of California. The lawsuits allege that Defendants violated the Securities Exchange Act of 1934 by making materially false and misleading statements regarding FibroGen’s Phase 3 clinical studies data and prospects for FDA approval between November 2019 and December 2020. Plaintiffs seek to represent a class of persons or entities that purchased FibroGen securities between November 8, 2019 and April 6, 2021. In May 2021, two additional putative securities class action complaints were filed against Defendants alleging the same claims. One of the lawsuits alleges that Defendants made materially false and misleading statements between October 2017 and December 2020 and seeks to represent a class of persons or entities that purchased FibroGen securities between October 18, 2017 and April 6, 2021. The other lawsuit alleges that Defendants made materially false and misleading statements between December 2018 and February 2020 and seeks to represent a class of persons or entities that purchased FibroGen securities between December 20, 2018 and April 6, 2021. All plaintiffs seek unspecified monetary damages and other relief. On August 30, 2021, the Court consolidated the actions and appointed a lead plaintiff. Plaintiff filed its consolidated amended complaint on October 29, 2021. Defendants’ motion to dismiss the consolidated amended complaint is due December 20, 2021.</w:t>
      </w:r>
    </w:p>
    <w:p>
      <w:pPr>
        <w:spacing w:after="0" w:line="17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July 30, 2021, a purported shareholder derivative complaint was filed in the U.S. District Court for the Northern District of California. The complaint names as defendants ten of FibroGen’s officers and directors, as well as FibroGen as nominal defendant, and asserts state and federal claims based on some of the same alleged misstatements as the securities class action complaints. The complaint seeks unspecified damages, attorneys’ fees, and other costs. The parties have agreed to stay the action pending resolution of a forthcoming motion to dismiss the securities class action.</w:t>
      </w:r>
    </w:p>
    <w:p>
      <w:pPr>
        <w:spacing w:after="0" w:line="1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believe that the claims are without merit and we intend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2020 (“2020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 roxadustat, and our second compound in development, pamrevlumab.*</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To date, we have invested a substantial portion of our efforts and financial resources in the research and development of roxadustat and pamrevlumab.</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we have received approval of our marketing authorization applications for roxadustat in the European Union, Great Britain, the People’s Republic of China (“China”), Japan, South Korea, and Chile for chronic kidney disease (“CKD”) anemia for patients on dialysis and not on dialysis, we received a complete response letter (“CRL”) in the U.S. from the Food and Drug Administration (“FDA”). Our near-term prospects depend in part on our continued development of roxadustat in the U.S. and maintaining our collaboration with AstraZeneca AB (“AstraZeneca”). We are currently in discussions with AstraZeneca to determine a development path forward for CKD anemia and CIA. We also continue to develop roxadustat for the treatment of anemia in patients with myelodysplastic syndromes (“MDS”).</w:t>
      </w:r>
    </w:p>
    <w:p>
      <w:pPr>
        <w:spacing w:after="0" w:line="192"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Our near-term success also depends in large part on our other lead product candidate, pamrevlumab, which is currently in clinical development for idiopathic pulmonary fibrosis (“IPF”), locally advanced pancreatic cancer, metastatic pancreatic cancer, and Duchenne muscular dystrophy (“DMD”). Pamrevlumab requires substantial further development and investment and we do not have a collaboration partner for support of this compound. In addition, pamrevlumab is a monoclonal antibody, which may require greater financial resources than for our small molecule, roxadustat.</w:t>
      </w:r>
    </w:p>
    <w:p>
      <w:pPr>
        <w:spacing w:after="0" w:line="26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As a company, we have limited commercialization experience, and the time and resources to develop such experience are significant. If we fail to achieve and sustain commercial success for roxadustat with our collaboration partners, our business would be harmed.</w:t>
      </w:r>
    </w:p>
    <w:p>
      <w:pPr>
        <w:spacing w:after="0" w:line="1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do not have a sales or marketing infrastructure and have limited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38"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products;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commercial teams;</w:t>
      </w:r>
    </w:p>
    <w:p>
      <w:pPr>
        <w:spacing w:after="0" w:line="117" w:lineRule="exact"/>
        <w:rPr>
          <w:rFonts w:ascii="Arial" w:cs="Arial" w:eastAsia="Arial" w:hAnsi="Arial"/>
          <w:sz w:val="18"/>
          <w:szCs w:val="18"/>
          <w:color w:val="auto"/>
        </w:rPr>
      </w:pPr>
    </w:p>
    <w:p>
      <w:pPr>
        <w:ind w:left="500" w:right="280" w:hanging="49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 organization.</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With respect to roxadustat, we are dependent on the commercialization capabilities of our collaboration partners, AstraZeneca and Astellas Pharma Inc. (“Astellas”). If either such partner were to terminate its agreement with us, we would have to commercialize on our own or with another third party. We will have limited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18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Commercializing roxadustat requires us to establish commercialization systems, including but not limited to, medical affairs, pharmacovigilance, supply-chain, and distribution capabilities to perform our portion of the collaborative efforts. These efforts require resources and time.</w:t>
      </w:r>
    </w:p>
    <w:p>
      <w:pPr>
        <w:spacing w:after="0" w:line="14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If we, along with Astellas and AstraZeneca, are not successful in our marketing, pricing and reimbursement strategies, facilitating adoption by dialysis organizations or health care professionals, recruiting sales and marketing personnel or in building a sales and marketing infrastructure, or if the market perception of roxadustat’s safety and efficacy profile is negative, we will have difficulty commercializing roxadustat, which would adversely affect our business and financial condition.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Although regulatory approval has been obtained for roxadustat in the European Union, Great Britain, China, Japan, South Korea, and Chile, we may be unable to obtain regulatory approval in other countries, or such approval may be delayed or limited, due to a number of factors, many of which are beyond our control.*</w:t>
      </w:r>
    </w:p>
    <w:p>
      <w:pPr>
        <w:spacing w:after="0" w:line="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pamrevlumab, or any of our other product candidates in one or more indications and jurisdictions.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Moreover, for any Phase 3 clinical trial to support a New Drug Application (“NDA”)/Biologics License Application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clinical research organizations (“CROs”), trial sites, principal investigators or other third parties fail to comply with applicable GCP requirements, the clinical data generated in our clinical trials may be deemed unreliable. Accordingly, the FDA or other regulatory authorities may require us to exclude the use of patient data from these unreliable clinical trials, or perform additional clinical trials before approving our marketing applications. The FDA or other regulatory authorities may even reject our application for approval, like they did for our roxadustat NDA for the treatment of CKD anemia, or refuse to accept our future applications.</w:t>
      </w:r>
    </w:p>
    <w:p>
      <w:pPr>
        <w:spacing w:after="0" w:line="1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Regulatory authorities may take actions or impose requirements that delay, limit or deny approval of our product candidates for many reasons, including, among others:</w:t>
      </w:r>
    </w:p>
    <w:p>
      <w:pPr>
        <w:spacing w:after="0" w:line="62" w:lineRule="exact"/>
        <w:rPr>
          <w:sz w:val="20"/>
          <w:szCs w:val="20"/>
          <w:color w:val="auto"/>
        </w:rPr>
      </w:pPr>
    </w:p>
    <w:p>
      <w:pPr>
        <w:jc w:val="both"/>
        <w:ind w:left="500" w:right="20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or an independent advisory committee that roxadustat is safe and effective in treating anemia in CKD, MDS, or chemotherapy-induced anemia, or that pamrevlumab is safe and effective in treating IPF, pancreatic cancer, or DMD;</w:t>
      </w:r>
    </w:p>
    <w:p>
      <w:pPr>
        <w:spacing w:after="0" w:line="75"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500" w:right="600" w:hanging="492"/>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product candidates may exhibit an unacceptable safety signal as they advance through clinical trials, in particular controlled Phase 3 trials;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CROs that conduct clinical trials on our behalf may take actions outside of our control that materially adversely impact our clinical trials;</w:t>
      </w:r>
    </w:p>
    <w:p>
      <w:pPr>
        <w:spacing w:after="0" w:line="128" w:lineRule="exact"/>
        <w:rPr>
          <w:rFonts w:ascii="Arial" w:cs="Arial" w:eastAsia="Arial" w:hAnsi="Arial"/>
          <w:sz w:val="17"/>
          <w:szCs w:val="17"/>
          <w:color w:val="auto"/>
        </w:rPr>
      </w:pPr>
    </w:p>
    <w:p>
      <w:pPr>
        <w:ind w:left="500" w:right="60" w:hanging="492"/>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third-party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our product candidates in one or more indications.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or cause us to abandon the development program altogether.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spacing w:after="0" w:line="296"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The CRL we received for roxadustat has decreased the likelihood of approval and successful commercialization of roxadustat in the U.S., will decrease and/or delay expected revenue, and may increase the possibility that our Collaboration Agreement with AstraZeneca could be amended or terminated.*</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August 2021, the FDA issued a CRL regarding roxadustat’s NDA for the treatment of anemia due to CKD in adult patients, stating that it could not be approved in its present form. We are preparing to meet with the FDA to discuss the potential trial(s) that would be required for approval in CKD anemia. We are also discussing the overall development and commercialization plan for roxadustat with our partner AstraZeneca and how the CRL and FDA feedback may affect those plans in the U.S. and in other territories licensed to AstraZeneca. The CRL has decreased the likelihood of approval and successful commercialization of roxadustat in the U.S. and therefore will decrease and/or delay expected revenue. It is also possible that the CRL could negatively impact development or commercialization beyond CKD anemia within the U.S. and in CKD anemia and other indications outside the U.S. There is also an increased possibility that our U.S./RoW Collaboration Agreement with AstraZeneca could be amended or terminated. Any of these risks could have a material impact on our business, operating results,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Phase 1 and Phase 2 clinical trial results may not be indicative of the results that may be obtained in larger clinical trials.</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2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approval or guidance;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recruit, enroll and retain patients through the completion of the trial, including for the duration of the </w:t>
      </w:r>
      <w:r>
        <w:rPr>
          <w:rFonts w:ascii="Arial" w:cs="Arial" w:eastAsia="Arial" w:hAnsi="Arial"/>
          <w:sz w:val="17"/>
          <w:szCs w:val="17"/>
          <w:color w:val="auto"/>
        </w:rPr>
        <w:t>Severe Acute Respiratory Syndrome Coronavirus</w:t>
      </w:r>
      <w:r>
        <w:rPr>
          <w:rFonts w:ascii="Arial" w:cs="Arial" w:eastAsia="Arial" w:hAnsi="Arial"/>
          <w:sz w:val="18"/>
          <w:szCs w:val="18"/>
          <w:color w:val="auto"/>
        </w:rPr>
        <w:t xml:space="preserve"> </w:t>
      </w:r>
      <w:r>
        <w:rPr>
          <w:rFonts w:ascii="Arial" w:cs="Arial" w:eastAsia="Arial" w:hAnsi="Arial"/>
          <w:sz w:val="17"/>
          <w:szCs w:val="17"/>
          <w:color w:val="auto"/>
        </w:rPr>
        <w:t>2 and the resulting Coronavirus Disease (“COVID-19”) pandemic;</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76"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ability to enroll patients in clinical trials during the COVID-19 pandemic (particularly for IPF);</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7" w:lineRule="exact"/>
        <w:rPr>
          <w:rFonts w:ascii="Arial" w:cs="Arial" w:eastAsia="Arial" w:hAnsi="Arial"/>
          <w:sz w:val="18"/>
          <w:szCs w:val="18"/>
          <w:color w:val="auto"/>
        </w:rPr>
      </w:pPr>
    </w:p>
    <w:p>
      <w:pPr>
        <w:ind w:left="500" w:right="20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we could encounter delays if a clinical trial is suspended or terminated by us, by the relevant institutional review boards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68"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clinical trial development plan becoming longer and more expensive;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terminating some of our clinical trials for the product candidates affected;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regulatory authorities increasing the data and information required to approve our product candidates and imposing other requirements; and</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8"/>
          <w:szCs w:val="18"/>
          <w:i w:val="1"/>
          <w:iCs w:val="1"/>
          <w:color w:val="auto"/>
        </w:rPr>
        <w:t>Business — Overview</w:t>
      </w:r>
      <w:r>
        <w:rPr>
          <w:rFonts w:ascii="Arial" w:cs="Arial" w:eastAsia="Arial" w:hAnsi="Arial"/>
          <w:sz w:val="18"/>
          <w:szCs w:val="18"/>
          <w:color w:val="auto"/>
        </w:rPr>
        <w:t>” in our 2020 Form 10-K for a discussion of the adverse events and serious adverse events that have emerged in clinical trials of roxadustat and pamrevlumab.</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our manufacturers or we cannot properly manufacture the appropriate volume of product, we may experience delays in development, regulatory approval, launch or successful commercialization.*</w:t>
      </w:r>
    </w:p>
    <w:p>
      <w:pPr>
        <w:spacing w:after="0" w:line="6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roxadustat and pamrevlumab, we will need to enter into additional commercial supply agreements, including for backup or second source third-party manufacturers. We may not be able to enter into these agreements with satisfactory terms or on a timely manner. In addition, we may experience delays or technical problems associated with technology transfer of manufacturing processes to any new suppliers.</w:t>
      </w:r>
    </w:p>
    <w:p>
      <w:pPr>
        <w:spacing w:after="0" w:line="1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a limited amount of roxadustat and pamrevlumab in storage, limited capacity reserved at our third-party manufacturers, and, even if we have or are able to put sufficient supply agreements in place for our development and commercialization plan, there are long lead times required to manufacture and scale-up the manufacture of additional supply, as required for both late-stage clinical trials, post-approval trials, and commercial supply. In addition, if we are not able to obtain regulatory approval of roxadustat in the U.S. in CKD anemia, we may have excess supply manufactured in anticipation of commercialization. Such roxadustat excess supply could be wasted, for example, if it expires prior to being used in other clinical trials or prior to being used in other territories where such roxadustat formulation is approved. If we are unable to forecast, order or manufacture sufficient quantities of roxadustat or pamrevlumab on a timely basis, it may delay our development, launch or commercialization in some or all indications we are currently pursuing. Insufficient supply could be a particular risk if we were to obtain regulatory approval of pamrevlumab in all indications being studied (IPF, locally advanced pancreatic cancer, metastatic pancreatic cancer, and DMD). Any delay or interruption in the supply of our product candidates or products could have a material adverse effect on our business and operations.</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or delay the regulatory approval process.</w:t>
      </w:r>
    </w:p>
    <w:p>
      <w:pPr>
        <w:spacing w:after="0" w:line="1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may add or change manufacturers for our products. We, our partners, or regulatory authorities may also request or make changes to our manufacturing processes or to our product or packaging specifications, including in order to accommodate changes in regulations, manufacturing equipment or to account for different processes at new or second source suppliers. If any such changes are made with respect to roxadustat or pamrevlumab we may need to demonstrate comparability to the products and processes already approved or in approval by various regulatory authorities, including potentially through the conduct of additional clinical trials. Even if we do demonstrate comparability, a regulatory agency could challenge that result which could delay our development or commercialization progress. Any such changes could also lead to product having an earlier expiration date, shorter shelf life, or failing to meet specifications. Any of these occurrences may materially impact our operations and potential profitability.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and even an experienced third-party manufacturer, may encounter difficulties in production. Difficulties may include:</w:t>
      </w:r>
    </w:p>
    <w:p>
      <w:pPr>
        <w:spacing w:after="0" w:line="117" w:lineRule="exact"/>
        <w:rPr>
          <w:sz w:val="20"/>
          <w:szCs w:val="20"/>
          <w:color w:val="auto"/>
        </w:rPr>
      </w:pPr>
    </w:p>
    <w:p>
      <w:pPr>
        <w:ind w:left="500" w:right="2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contracting with additional suppliers and validation/qualification of additional facilities to meet growing demand;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supply chain issues, including coordination of multiple contractors in our supply chain and securing necessary licenses (such as export licenses);</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timely availability and shelf life requirements of raw materials and supplies, including delays in availability due to the COVID-19 pandemic;</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limited stability and product shelf life;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equipment maintenance issues or failure;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quality control and quality assurance issues;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w:t>
      </w:r>
    </w:p>
    <w:p>
      <w:pPr>
        <w:spacing w:after="0" w:line="117"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natural disasters, such as pandemics, including the COVID-19 pandemic, floods, storms, earthquakes, tsunamis, and droughts, or accidents such as fire, that affect facilities, possibly limit or postpone production, and increase costs;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obtain license to proprietary starting materials.</w:t>
      </w:r>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Even if we believe we have achieved positive clinical results, such as superiority or non-inferiority, in certain endpoints, populations or sub-populations, or using certain statistical methods of analysis, the FDA and European Medicines Agency (“EMA”) will each conduct their own benefit-risk analysis and may reach different conclusions, using different statistical methods, different endpoints or definitions thereof, or different patient populations or sub-populations, and regulatory authorities may change their approvability criteria based on their internal analyses and discussions with expert advisors. For example, while we have received approval of our marketing authorization applications for roxadustat in the European Union, Great Britain, China, Japan, South Korea, and Chile for CKD anemia for patients on dialysis and not on dialysis, we received a CRL in the U.S. from the FDA. Regulatory authorities may approve one of our product candidates for fewer or more limited indications than we request or may grant approval contingent on the performance of costly post-approval clinical trials. While we will present to regulatory authorities certain pre-specified and not pre-specified sub-populations and sub-group analyses (for example, incident dialysis), multiple secondary endpoints, and multiple sets of stratification factors and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such as incident dialysis, estimated glomerular filtration rate, hepcidin, or quality of life measures, regulatory authorities may not include such claims on any approved labeling for roxadustat.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spacing w:after="0" w:line="2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boxed warnings on their labels. The safety concerns relating to ESAs may result in labeling for roxadustat containing similar warnings. Any label for roxadustat may contain other warnings or limit the market opportunity or approved indications for roxadustat. These warnings could include warnings against exceeding specified hemoglobin targets and other warnings that derive from the safety issues associated with ESAs, even if our Phase 3 clinical trials do not themselves raise safety concerns.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the discovery, development and commercialization of product candidates.*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8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If roxadustat is approved and launched commercially, competing drugs are expected to include ESAs, particularly in those patient segments where ESAs are used. Currently available ESAs include epoetin alfa (EPOGEN</w:t>
      </w:r>
      <w:r>
        <w:rPr>
          <w:rFonts w:ascii="Arial" w:cs="Arial" w:eastAsia="Arial" w:hAnsi="Arial"/>
          <w:sz w:val="14"/>
          <w:szCs w:val="14"/>
          <w:color w:val="auto"/>
        </w:rPr>
        <w:t>®</w:t>
      </w:r>
      <w:r>
        <w:rPr>
          <w:rFonts w:ascii="Arial" w:cs="Arial" w:eastAsia="Arial" w:hAnsi="Arial"/>
          <w:sz w:val="17"/>
          <w:szCs w:val="17"/>
          <w:color w:val="auto"/>
        </w:rPr>
        <w:t>, marketed by Amgen Inc. in the U.S., Procrit</w:t>
      </w:r>
      <w:r>
        <w:rPr>
          <w:rFonts w:ascii="Arial" w:cs="Arial" w:eastAsia="Arial" w:hAnsi="Arial"/>
          <w:sz w:val="14"/>
          <w:szCs w:val="14"/>
          <w:color w:val="auto"/>
        </w:rPr>
        <w:t>®</w:t>
      </w:r>
      <w:r>
        <w:rPr>
          <w:rFonts w:ascii="Arial" w:cs="Arial" w:eastAsia="Arial" w:hAnsi="Arial"/>
          <w:sz w:val="17"/>
          <w:szCs w:val="17"/>
          <w:color w:val="auto"/>
        </w:rPr>
        <w:t xml:space="preserve"> and Erypo</w:t>
      </w:r>
      <w:r>
        <w:rPr>
          <w:rFonts w:ascii="Arial" w:cs="Arial" w:eastAsia="Arial" w:hAnsi="Arial"/>
          <w:sz w:val="14"/>
          <w:szCs w:val="14"/>
          <w:color w:val="auto"/>
        </w:rPr>
        <w:t>®</w:t>
      </w:r>
      <w:r>
        <w:rPr>
          <w:rFonts w:ascii="Arial" w:cs="Arial" w:eastAsia="Arial" w:hAnsi="Arial"/>
          <w:sz w:val="17"/>
          <w:szCs w:val="17"/>
          <w:color w:val="auto"/>
        </w:rPr>
        <w:t>/Eprex</w:t>
      </w:r>
      <w:r>
        <w:rPr>
          <w:rFonts w:ascii="Arial" w:cs="Arial" w:eastAsia="Arial" w:hAnsi="Arial"/>
          <w:sz w:val="14"/>
          <w:szCs w:val="14"/>
          <w:color w:val="auto"/>
        </w:rPr>
        <w:t>®</w:t>
      </w:r>
      <w:r>
        <w:rPr>
          <w:rFonts w:ascii="Arial" w:cs="Arial" w:eastAsia="Arial" w:hAnsi="Arial"/>
          <w:sz w:val="17"/>
          <w:szCs w:val="17"/>
          <w:color w:val="auto"/>
        </w:rPr>
        <w:t>, marketed by Johnson &amp; Johnson Inc., and Espo</w:t>
      </w:r>
      <w:r>
        <w:rPr>
          <w:rFonts w:ascii="Arial" w:cs="Arial" w:eastAsia="Arial" w:hAnsi="Arial"/>
          <w:sz w:val="14"/>
          <w:szCs w:val="14"/>
          <w:color w:val="auto"/>
        </w:rPr>
        <w:t>®</w:t>
      </w:r>
      <w:r>
        <w:rPr>
          <w:rFonts w:ascii="Arial" w:cs="Arial" w:eastAsia="Arial" w:hAnsi="Arial"/>
          <w:sz w:val="17"/>
          <w:szCs w:val="17"/>
          <w:color w:val="auto"/>
        </w:rPr>
        <w:t xml:space="preserve"> marketed by Kyowa Hakko Kirin in Japan and China), darbepoetin (Amgen/Kyowa Hakko Kirin’s Aranesp</w:t>
      </w:r>
      <w:r>
        <w:rPr>
          <w:rFonts w:ascii="Arial" w:cs="Arial" w:eastAsia="Arial" w:hAnsi="Arial"/>
          <w:sz w:val="14"/>
          <w:szCs w:val="14"/>
          <w:color w:val="auto"/>
        </w:rPr>
        <w:t>®</w:t>
      </w:r>
      <w:r>
        <w:rPr>
          <w:rFonts w:ascii="Arial" w:cs="Arial" w:eastAsia="Arial" w:hAnsi="Arial"/>
          <w:sz w:val="17"/>
          <w:szCs w:val="17"/>
          <w:color w:val="auto"/>
        </w:rPr>
        <w:t xml:space="preserve"> and NESP</w:t>
      </w:r>
      <w:r>
        <w:rPr>
          <w:rFonts w:ascii="Arial" w:cs="Arial" w:eastAsia="Arial" w:hAnsi="Arial"/>
          <w:sz w:val="14"/>
          <w:szCs w:val="14"/>
          <w:color w:val="auto"/>
        </w:rPr>
        <w:t>®</w:t>
      </w:r>
      <w:r>
        <w:rPr>
          <w:rFonts w:ascii="Arial" w:cs="Arial" w:eastAsia="Arial" w:hAnsi="Arial"/>
          <w:sz w:val="17"/>
          <w:szCs w:val="17"/>
          <w:color w:val="auto"/>
        </w:rPr>
        <w:t>) and Mircera</w:t>
      </w:r>
      <w:r>
        <w:rPr>
          <w:rFonts w:ascii="Arial" w:cs="Arial" w:eastAsia="Arial" w:hAnsi="Arial"/>
          <w:sz w:val="14"/>
          <w:szCs w:val="14"/>
          <w:color w:val="auto"/>
        </w:rPr>
        <w:t>®</w:t>
      </w:r>
      <w:r>
        <w:rPr>
          <w:rFonts w:ascii="Arial" w:cs="Arial" w:eastAsia="Arial" w:hAnsi="Arial"/>
          <w:sz w:val="17"/>
          <w:szCs w:val="17"/>
          <w:color w:val="auto"/>
        </w:rPr>
        <w:t xml:space="preserve"> marketed by Hoffmann-La Roche (“Roche”) outside of the U.S. and by Vifor Pharma, a Roche licensee, in the U.S. and Puerto Rico, as well as biosimilar versions of these currently marketed ESA products. ESAs have been used in the treatment of anemia in CKD for more than 30 years, serving a significant majority of dialysis CKD patients. While non-dialysis CKD patients who are not under the care of nephrologists, including those with diabetes and hypertension, do not typically receive ESAs and are often left untreated, some non-dialysis patients under nephrology or hematology care may be receiving ESA therapy. It may be difficult to encourage healthcare providers and patients to switch to roxadustat from products with which they have become familiar.</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may also face competition from potential new anemia therapies currently in clinical development, including in those patient segments not adequately addressed by ESAs. Companies that are currently developing hypoxia-inducible factor prolyl hydroxylase (“HIF-PH”) inhibitors for anemia in CKD indications include GlaxoSmithKline plc (“GSK”), Bayer Corporation (“Bayer”), Akebia Therapeutics, Inc. (“Akebia”), Otsuka Pharmaceutical, Akebia’s partner in the U.S. and Europe, Japan Tobacco, and Zydus Cadila (India) (“Zydus”). Akebia has completed Phase 3 studies in CKD patients on dialysis and not on dialysis in the U.S., as well as a Phase 3b, randomized, open-label, active-controlled trial evaluating the efficacy and safety of oral vadadustat once daily and three times weekly for the maintenance treatment of anemia in hemodialysis subjects converting from ESAs. The study completion date is estimated to be May 2022. Akebia announced an additional Phase 3 study evaluating the efficacy and safety of dose conversion from a long-acting ESA (Mircera</w:t>
      </w:r>
      <w:r>
        <w:rPr>
          <w:rFonts w:ascii="Arial" w:cs="Arial" w:eastAsia="Arial" w:hAnsi="Arial"/>
          <w:sz w:val="13"/>
          <w:szCs w:val="13"/>
          <w:color w:val="auto"/>
        </w:rPr>
        <w:t>®</w:t>
      </w:r>
      <w:r>
        <w:rPr>
          <w:rFonts w:ascii="Arial" w:cs="Arial" w:eastAsia="Arial" w:hAnsi="Arial"/>
          <w:sz w:val="16"/>
          <w:szCs w:val="16"/>
          <w:color w:val="auto"/>
        </w:rPr>
        <w:t>) to three times weekly oral vadadustat for the maintenance treatment of anemia in hemodialysis subjects. The estimated study start date is February 2021. In March 2021, Akebia submitted an NDA to the FDA for vadadustat for the treatment of anemia due to CKD in patients on dialysis and not on dialysis. The FDA accepted for filing the NDA for the treatment of anemia due to CKD in both adult patients on dialysis and adult patients not on dialysis, with a Prescription Drug User Fee Act (PDUFA) target action date of March 29, 2022. In October 2021, Otsuka submitted an initial marketing authorization application to the EMA for vadadustat for the treatment of anemia associated with CKD in adults.</w:t>
      </w:r>
    </w:p>
    <w:p>
      <w:pPr>
        <w:spacing w:after="0" w:line="16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July 2021, GSK announced positive topline results from five Phase 3 studies of daprodustat for non-dialysis and dialysis patients with anemia due to CKD. Full results of the studies are anticipated to be presented at a forthcoming medical meeting later in 2021.</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Japan, Mitsubishi Tanabe Pharmaceutical Corporation, Akebia’s collaboration partner, received approval for vadadustat in June 2020 for the treatment of anemia of CKD patients on and not on dialysis. GSK received approval for daprodustat in Japan in June 2020 for the treatment of anemia of CKD patients on and not on dialysis. Price listing for the launch in Japan of both vadadustat and daprodustat occurred in the third quarter of 2020, with pricing in line with roxadustat pricing. GSK and Kyowa Hakko Kirin announced in November 2018 that the two companies signed a strategic commercialization deal in Japan for daprodustat. Bayer received approval for molidustat in Japan in January 2021 for the treatment of anemia in CKD patients on and not on dialysis, with pricing in line with roxadustat pricing. Japan Tobacco received approval in Japan for enarodustat for the treatment of anemia in CKD patients on dialysis and not on dialysis, to be sold by Torii Pharmaceuticals Ltd as ENAROY</w:t>
      </w:r>
      <w:r>
        <w:rPr>
          <w:rFonts w:ascii="Arial" w:cs="Arial" w:eastAsia="Arial" w:hAnsi="Arial"/>
          <w:sz w:val="13"/>
          <w:szCs w:val="13"/>
          <w:color w:val="auto"/>
        </w:rPr>
        <w:t>®</w:t>
      </w:r>
      <w:r>
        <w:rPr>
          <w:rFonts w:ascii="Arial" w:cs="Arial" w:eastAsia="Arial" w:hAnsi="Arial"/>
          <w:sz w:val="16"/>
          <w:szCs w:val="16"/>
          <w:color w:val="auto"/>
        </w:rPr>
        <w:t>. Japan Tobacco and its partner JW Pharmaceuticals started a Phase 3 study in dialysis patients in Korea in 2019. Zydus started Phase 3 studies of desidustat in dialysis and non-dialysis CKD patients in India in 2019.</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July 2020, Zydus received approval from the FDA to begin a Phase 1 study of desidustat for the treatment of chemotherapy-induced anemia, which could potentially be competitive with roxadustat within this indication.</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Reblozyl</w:t>
      </w:r>
      <w:r>
        <w:rPr>
          <w:rFonts w:ascii="Arial" w:cs="Arial" w:eastAsia="Arial" w:hAnsi="Arial"/>
          <w:sz w:val="15"/>
          <w:szCs w:val="15"/>
          <w:color w:val="auto"/>
        </w:rPr>
        <w:t>®</w:t>
      </w:r>
      <w:r>
        <w:rPr>
          <w:rFonts w:ascii="Arial" w:cs="Arial" w:eastAsia="Arial" w:hAnsi="Arial"/>
          <w:sz w:val="18"/>
          <w:szCs w:val="18"/>
          <w:color w:val="auto"/>
        </w:rPr>
        <w:t xml:space="preserve"> (luspatercept) was approved by the FDA in April 2020 for the treatment of anemia in adults with MDS with ring sideroblasts or myelodysplastic/myeloproliferative neoplasms with ring sideroblasts and thrombocytosis who need regular red blood cell transfusions and have not responded well to or cannot receive an ESA. It is the first and only erythroid maturation agent approved in the U.S., Europe, and Canada and is part of a global collaboration between Acceleron Pharma, Inc. and Bristol Myers Squibb.</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addition, we will likely face competition from other companies developing biologic therapies for the treatment of other anemia indications that we may also seek to pursue in the future. We may face competition for patient recruitment, enrollment for clinical trials, and potentially in commercial sales. There may also be new therapies for renal-related diseases that could limit the market or level of reimbursement available for roxadustat.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China, ESA is considered the standard of care for treatment of anemia of CKD, and locally manufactured epoetin alfa is offered by 15 local manufacturers including the market leader EPIAO that is marketed by 3SBio Inc. We may face potential competition from other HIF-PH inhibitors. Companies active in the US such as Akebia, Bayer, and GSK have been authorized by the National Medical Products Administration (“NMPA”) to conduct trials in China to support its ex-China regulatory filings. A number of domestic companies, including Jiangsu Hengrui Medicine Co., Ltd., Guandong Sunshine Health Investment Co., Ltd., 3SBio Inc., and Hangzhou Andao Pharmaceutical Co. have been permitted by the NMPA to conduct clinical trials in their locally developed HIF-PH inhibitor investigational compounds for the treatment of anemia in CKD. Domestic companies are also in-licensing global compounds to be developed as domestic drugs, including China Medical System which in-licensed desidustat, a compound that is currently in Phase 3 trials in India, from Zydus for greater China in January 2020. In January 2021, China Medical System Holdings Ltd. was granted approval by the Chinese NMPA to begin trials for desidustat in patients with anemia of CKD, including dialysis and non-dialysis patients. Shenzhen Salubris Pharmaceutical Co., Ltd., a domestic company in China, has in-licensed enarodustat from Japan Tobacco and received NMPA approval in the third quarter of 2020 to initiate Phase 3 studies. We will also face competition from generics who could enter the market after expiry of our patents in China, and two potential market players have already started bioequivalence studies, including Chia Tai-Tiangqing Pharmaceutical Holdings and CSPA Pharmaceutical Group.</w:t>
      </w:r>
    </w:p>
    <w:p>
      <w:pPr>
        <w:spacing w:after="0" w:line="16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first biosimilar ESA, Pfizer’s Retacrit</w:t>
      </w:r>
      <w:r>
        <w:rPr>
          <w:rFonts w:ascii="Arial" w:cs="Arial" w:eastAsia="Arial" w:hAnsi="Arial"/>
          <w:sz w:val="15"/>
          <w:szCs w:val="15"/>
          <w:color w:val="auto"/>
        </w:rPr>
        <w:t>®</w:t>
      </w:r>
      <w:r>
        <w:rPr>
          <w:rFonts w:ascii="Arial" w:cs="Arial" w:eastAsia="Arial" w:hAnsi="Arial"/>
          <w:sz w:val="18"/>
          <w:szCs w:val="18"/>
          <w:color w:val="auto"/>
        </w:rPr>
        <w:t xml:space="preserve"> (epoetin zeta), entered the U.S. market in November 2018. Market penetration of Retacrit and the potential addition of other biosimilar ESAs currently under development may alter the competitive and pricing landscape of anemia therapy in CKD patients on dialysis under the end-stage renal disease bundle. The patents for Amgen’s EPOGEN</w:t>
      </w:r>
      <w:r>
        <w:rPr>
          <w:rFonts w:ascii="Arial" w:cs="Arial" w:eastAsia="Arial" w:hAnsi="Arial"/>
          <w:sz w:val="15"/>
          <w:szCs w:val="15"/>
          <w:color w:val="auto"/>
        </w:rPr>
        <w:t>®</w:t>
      </w:r>
      <w:r>
        <w:rPr>
          <w:rFonts w:ascii="Arial" w:cs="Arial" w:eastAsia="Arial" w:hAnsi="Arial"/>
          <w:sz w:val="18"/>
          <w:szCs w:val="18"/>
          <w:color w:val="auto"/>
        </w:rPr>
        <w:t xml:space="preserve">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w:t>
      </w:r>
      <w:r>
        <w:rPr>
          <w:rFonts w:ascii="Arial" w:cs="Arial" w:eastAsia="Arial" w:hAnsi="Arial"/>
          <w:sz w:val="15"/>
          <w:szCs w:val="15"/>
          <w:color w:val="auto"/>
        </w:rPr>
        <w:t>®</w:t>
      </w:r>
      <w:r>
        <w:rPr>
          <w:rFonts w:ascii="Arial" w:cs="Arial" w:eastAsia="Arial" w:hAnsi="Arial"/>
          <w:sz w:val="18"/>
          <w:szCs w:val="18"/>
          <w:color w:val="auto"/>
        </w:rPr>
        <w:t xml:space="preserve"> (epoetin alfa) in Europe and may file a biosimilar Biologics License Application in the U.S.</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more than 80% of U.S. dialysis patients, and therefore have historically executed long-term contracts including rebate terms with Amgen. Successful penetration in this market will likely require our partner AstraZeneca to enter into a definitive agreement with Fresenius, DaVita, or other dialysis organizations, on favorable pricing terms and on a timely basis.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approved and launched commercially to treat IPF, pamrevlumab is expected to compete with Roche’s Esbriet</w:t>
      </w:r>
      <w:r>
        <w:rPr>
          <w:rFonts w:ascii="Arial" w:cs="Arial" w:eastAsia="Arial" w:hAnsi="Arial"/>
          <w:sz w:val="14"/>
          <w:szCs w:val="14"/>
          <w:color w:val="auto"/>
        </w:rPr>
        <w:t>®</w:t>
      </w:r>
      <w:r>
        <w:rPr>
          <w:rFonts w:ascii="Arial" w:cs="Arial" w:eastAsia="Arial" w:hAnsi="Arial"/>
          <w:sz w:val="17"/>
          <w:szCs w:val="17"/>
          <w:color w:val="auto"/>
        </w:rPr>
        <w:t xml:space="preserve"> (pirfenidone), and Boehringer Ingelheim’s Ofev</w:t>
      </w:r>
      <w:r>
        <w:rPr>
          <w:rFonts w:ascii="Arial" w:cs="Arial" w:eastAsia="Arial" w:hAnsi="Arial"/>
          <w:sz w:val="14"/>
          <w:szCs w:val="14"/>
          <w:color w:val="auto"/>
        </w:rPr>
        <w:t>®</w:t>
      </w:r>
      <w:r>
        <w:rPr>
          <w:rFonts w:ascii="Arial" w:cs="Arial" w:eastAsia="Arial" w:hAnsi="Arial"/>
          <w:sz w:val="17"/>
          <w:szCs w:val="17"/>
          <w:color w:val="auto"/>
        </w:rPr>
        <w:t xml:space="preserve">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an oral product with which they are already familiar to a product delivered via in-office infusion. Furthermore, pirfenidone and nintedanib may be produced as generics in the near future. We may also face competition from potential new IPF therapies in recruitment and enrollment in our clinical trials and potentially in commercialization.</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Pamrevlumab is a monoclonal antibody that may be more expensive and less convenient than oral small molecules such as nintedanib and pirfenidone. Other potential competitive product candidates in various stages of development for IPF include Kadmon Holdings, Inc.’s KD025, Galecto’s GB0139, Liminal BioSciences’ PBI-4050, and Roche/Promedior, Inc.’s PRM-151. Roche is enrolling patients in a Phase 3 trial evaluating the efficacy and safety of PRM-151, a recombinant human pentraxin-2 (rhPTX-2), compared to placebo in patients with IPF. United Therapeutics Corporation is enrolling patients in its Phase 3 trial of treprostinil in IPF.</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pamrevlumab is approved and launched commercially to treat locally advanced pancreatic cancer or metastatic pancreatic cancer, pamrevlumab may face competition from products currently used for pancreatic cancer. These include FOLFRINOX, a combination chemotherapy regimen of folic acid, 5-fluouracil, oxaliplatin and irinotecan, and agents seeking approval in combination with gemcitibine and nab-paclitaxel from companies such as Rafael Pharma’s defactinib/CPI-613 and Merrimack’s istiratumab. Gemcitabine and/or nab-paclitaxel are the current standard of care in the first-line treatment of metastatic pancreatic cancer.</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Celgene Corporation’s Abraxane</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approved and launched commercially to treat DMD, pamrevlumab is expected to face competition from drugs that have been approved in major markets such as the U.S., European Union, and Japan. On September 19, 2016, the FDA approved Sarepta Therapeutics Inc.’s (“Sarepta”) Exondys 51</w:t>
      </w:r>
      <w:r>
        <w:rPr>
          <w:rFonts w:ascii="Arial" w:cs="Arial" w:eastAsia="Arial" w:hAnsi="Arial"/>
          <w:sz w:val="15"/>
          <w:szCs w:val="15"/>
          <w:color w:val="auto"/>
        </w:rPr>
        <w:t>TM</w:t>
      </w:r>
      <w:r>
        <w:rPr>
          <w:rFonts w:ascii="Arial" w:cs="Arial" w:eastAsia="Arial" w:hAnsi="Arial"/>
          <w:sz w:val="18"/>
          <w:szCs w:val="18"/>
          <w:color w:val="auto"/>
        </w:rPr>
        <w:t xml:space="preserve"> (eteplirsen).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Sarepta’s Vyondys 53</w:t>
      </w:r>
      <w:r>
        <w:rPr>
          <w:rFonts w:ascii="Arial" w:cs="Arial" w:eastAsia="Arial" w:hAnsi="Arial"/>
          <w:sz w:val="15"/>
          <w:szCs w:val="15"/>
          <w:color w:val="auto"/>
        </w:rPr>
        <w:t>TM</w:t>
      </w:r>
      <w:r>
        <w:rPr>
          <w:rFonts w:ascii="Arial" w:cs="Arial" w:eastAsia="Arial" w:hAnsi="Arial"/>
          <w:sz w:val="18"/>
          <w:szCs w:val="18"/>
          <w:color w:val="auto"/>
        </w:rPr>
        <w:t xml:space="preserve"> (golodirsen) was approved by the FDA in December 2019 for patients with a confirmed genetic mutation that is amenable to exon 53 skipping, which accounts for approximately 8% of the DMD population. Sarepta’s Amondys 45™ (casimersen) was approved by the FDA in February 2021 for patients with a confirmed genetic mutation that is amenable to exon 45 skipping, which accounts for approximately 8% of the DMD population.</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PTC Therapeutics’ product Translarna </w:t>
      </w:r>
      <w:r>
        <w:rPr>
          <w:rFonts w:ascii="Arial" w:cs="Arial" w:eastAsia="Arial" w:hAnsi="Arial"/>
          <w:sz w:val="15"/>
          <w:szCs w:val="15"/>
          <w:color w:val="auto"/>
        </w:rPr>
        <w:t>TM</w:t>
      </w:r>
      <w:r>
        <w:rPr>
          <w:rFonts w:ascii="Arial" w:cs="Arial" w:eastAsia="Arial" w:hAnsi="Arial"/>
          <w:sz w:val="18"/>
          <w:szCs w:val="18"/>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CRL in October 2017, as well as in its response to PTC Therapeutics’ appeal, that the FDA is unable to approve the application in its current form. An additional Phase 3 study is currently ongoing. While Translarna </w:t>
      </w:r>
      <w:r>
        <w:rPr>
          <w:rFonts w:ascii="Arial" w:cs="Arial" w:eastAsia="Arial" w:hAnsi="Arial"/>
          <w:sz w:val="15"/>
          <w:szCs w:val="15"/>
          <w:color w:val="auto"/>
        </w:rPr>
        <w:t>TM</w:t>
      </w:r>
      <w:r>
        <w:rPr>
          <w:rFonts w:ascii="Arial" w:cs="Arial" w:eastAsia="Arial" w:hAnsi="Arial"/>
          <w:sz w:val="18"/>
          <w:szCs w:val="18"/>
          <w:color w:val="auto"/>
        </w:rPr>
        <w:t xml:space="preserve"> targets a different set of DMD patients from those targeted by Sarepta’s Exondys 51</w:t>
      </w:r>
      <w:r>
        <w:rPr>
          <w:rFonts w:ascii="Arial" w:cs="Arial" w:eastAsia="Arial" w:hAnsi="Arial"/>
          <w:sz w:val="15"/>
          <w:szCs w:val="15"/>
          <w:color w:val="auto"/>
        </w:rPr>
        <w:t>®</w:t>
      </w:r>
      <w:r>
        <w:rPr>
          <w:rFonts w:ascii="Arial" w:cs="Arial" w:eastAsia="Arial" w:hAnsi="Arial"/>
          <w:sz w:val="18"/>
          <w:szCs w:val="18"/>
          <w:color w:val="auto"/>
        </w:rPr>
        <w:t>, it is also limited to a subset of patients who carry a specific mutation. Conversely, pamrevlumab is intended to treat DMD patients without limitation to type of mutation.</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Pfizer, Pliant, Galecto, and Sarepta. Pfizer initiated a Phase 3 study with PF-06939926, its AAV9 mini-dystrophin gene therapy for DMD in February 2020. Pliant’s PLN-74809 and Galecto’s lead candidate GB0139, are in Phase 2 development for IPF.</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If our collaboration partners and we are not able to compete effectively against existing and potential competitors, our business and financial condition may be materially and adversely affected.</w:t>
      </w:r>
    </w:p>
    <w:p>
      <w:pPr>
        <w:spacing w:after="0" w:line="2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spacing w:after="0" w:line="41"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efficacy of the product candidate as demonstrated in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safety profile and perceptions of safety of our product candidates relative to competitive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healthcare providers and patients;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17" w:lineRule="exact"/>
        <w:rPr>
          <w:rFonts w:ascii="Arial" w:cs="Arial" w:eastAsia="Arial" w:hAnsi="Arial"/>
          <w:sz w:val="18"/>
          <w:szCs w:val="18"/>
          <w:color w:val="auto"/>
        </w:rPr>
      </w:pPr>
    </w:p>
    <w:p>
      <w:pPr>
        <w:ind w:left="500" w:right="660" w:hanging="492"/>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the product candidate relative to alternative treatments;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adequate pricing and reimbursement by third parties and government authorities as described below;</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addition, see the risk factor titled “Our product candidates may cause or have attributed to them undesirable side effects or have other properties that delay or prevent their regulatory approval or limit their commercial potential” above. If any product candidate is approved but does not achieve an adequate level of acceptance by such parties, we may not generate or derive sufficient revenue from that product candidate and may not become or remain profitable.</w:t>
      </w:r>
    </w:p>
    <w:p>
      <w:pPr>
        <w:spacing w:after="0" w:line="2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third-party payors may render our products less attractive to patients and healthcare providers.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9"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covered benefit under applicable health plan;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For example, our current National Reimbursement Drug List reimbursement pricing for China is effective for a standard two-year period (between January 1, 2020 to December 31, 2021). We are in the process of finalizing a new reimbursement price with the Chinese government, which will be lower than the current reimbursement price for roxadustat.</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continue to be adversely affected by the ongoing COVID-19 global pandemic.*</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COVID-19 pandemic may negatively impact productivity, disrupt our business, and delay our clinical programs and timelines, the magnitude of which will depend, in part, on the progression of the disease, and the efficacy of vaccines and other therapeutics in preventing and treating current and future COVID-19 variants.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seen impacts from COVID-19 on all of our clinical trials to varying degrees, but COVID-19 has most heavily impacted our clinical trial timelines in IPF, DMD, and MDS. There is a risk that our clinical trials could be further delayed by additional COVID-19 outbreaks, which could slow or pause enrollment or site initiation. In addition, while we are trying to mitigate the effect of COVID-19 on existing patients, it is possible that some patients may not be able to continue to comply with protocols, which could further delay our clinical trial progress.</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believe we have sufficient roxadustat and pamrevlumab supplies for our expected commercial and clinical requirements over the next year. However, we only have a limited stockpile of these drug supply products, and therefore, if there is a greater impact from the COVID-19 pandemic than expected, or if manufacturing operations are halted again, or if drug product expires due to slowed clinical trials, we could face shortages in our global supply chains. COVID-19 has created increased demand for the limited global biologics manufacturing capacity, and for manufacturing supplies, including for vials, reagents, supplements and media. Any such supply disruptions could adversely impact our clinical development and ability to generate revenues from our approved products and our business, financial condition, results of operations and growth prospects could be materially adversely affected.</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Due to these and potentially additional business disruptions, there may be delays to any of our business areas including those outlined above, as well as in regulatory, distribution, warehousing and other development, commercialization and launch efforts. The full extent of these effects are unknown, but all of them could have a material impact on our business, operating results, and financial condition. In addition, COVID-19 presents a health risk to our employees, including members of senior management.</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the extent the ongoing COVID-19 pandemic adversely affects our business and results of operations, it may also have the effect of heightening many of the other risks and uncertainties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6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In addition, each of those agreements provides our respective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As a result of the CRL, we received for roxadustat for the treatment of anemia due to CKD in adult patients in the U.S. We are currently in discussions with AstraZeneca to determine a potential path forward for the development of roxadustat in the U.S., and there is an increased possibility that our Collaboration Agreement with AstraZeneca could be amended or terminated. We and AstraZeneca plan on meeting with the FDA to discuss what additional data would be required for approval in CKD anemia. In addition, our collaborations are exclusive and preclude us from entering into additional collaboration agreements with other parties in the area or field of exclusivity.</w:t>
      </w:r>
    </w:p>
    <w:p>
      <w:pPr>
        <w:spacing w:after="0" w:line="1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regulatory approval may be revised and negatively affect the anticipated timing and potential for success of our product candidates. Even if a product under a collaboration agreement receives regulatory approval, we will remain substantially dependent on the commercialization strategy and efforts of our collaboration partners, and, our collaboration partners have limited or no experience in commercialization of an anemia drug. If our collaboration partners are unsuccessful in their commercialization efforts, our results will be negatively affected.</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With respect to our collaboration agreements for roxadustat, there are additional complexities in that our collaboration partners, Astellas and AstraZeneca, and we must reach consensus on certain portions of our development programs and regulatory activities. In addition, there are aspects of commercial operations that require cooperation among the collaboration partners, including safety data reporting.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or both, may negatively impact the timing or success of our regulatory approval applications.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spacing w:after="0" w:line="19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continued development of roxadustat.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period of time.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do not have operating manufacturing facilities at this time other than our roxadustat manufacturing facilities in China, and our current commercial manufacturing plants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spacing w:after="0" w:line="70" w:lineRule="exact"/>
        <w:rPr>
          <w:sz w:val="20"/>
          <w:szCs w:val="20"/>
          <w:color w:val="auto"/>
        </w:rPr>
      </w:pPr>
    </w:p>
    <w:p>
      <w:pPr>
        <w:ind w:left="500" w:right="220" w:hanging="492"/>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62"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500" w:right="40" w:hanging="492"/>
        <w:spacing w:after="0" w:line="263"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distributors or suppliers unrelated to our product, including the merger, acquisition, or bankruptcy of a manufacturer or supplier or a catastrophic event, including disruption resulting from the COVID-19 pandemic, affecting our manufacturers, distributors or suppliers.</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We have entered into an initial commercial supply agreement for the manufacture of pamrevlumab with Samsung Biologics Co., Ltd. (“Samsung”).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experience delays or technical problems associated with:</w:t>
      </w:r>
    </w:p>
    <w:p>
      <w:pPr>
        <w:spacing w:after="0" w:line="103"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technology transfer of the manufacturing process to Samsung;</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scale-up and production of cGMP batches;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analytical method validation and transfer to Samsung;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process validation, including process characterization and process performance qualification batches; and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set up and execution of appropriate stability studies.</w:t>
      </w:r>
    </w:p>
    <w:p>
      <w:pPr>
        <w:spacing w:after="0" w:line="21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made certain manufacturing commitments to Samsung, and there is a contractual risk we will not require the quantities of pamrevlumab we have committed to, particularly if we cease some of our pamrevlumab clinical trials.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have a letter agreement with IRIX Pharmaceuticals, Inc. (“IRIX”), a third-party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IRIX and we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 and in 2017, ThermoFisher Scientific Inc. acquired Patheon Pharmaceuticals Inc.</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any third-party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third-party manufacturer we expect to enter into technical transfer agreements and share our know-how with the third-party manufacturer, which can be time-consuming and may result in delays. These delays could result in a suspension or delay of marketing roxadustat.</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6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do not have an alternative supplier of certain components of our product candidates. We may be unable to enter into long-term commercial supply arrangements for some of our products,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ingredients (“API”), and drug product to meet our and our collaboration partners’ needs for roxadustat to date, the lead-time and regulatory approvals required to source from and into countries outside of the U.S. increase the risk of delay and potential shortages of supply.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or employees to the extent that our patents, trade secrets, and contractual position allow us to do so. Any disclosure to or misappropriation by third parties or employees of our trade secrets or confidential information could compromise our competitive position. Moreover, we are involved in, have in the past been involved in, and may in the future be involved in legal proceedings involving our intellectual property initiated by third parties, which proceedings can be associated with significant costs and commitment of management time and attention. As our product candidates continue in development, third parties have attempted and may again attempt to challenge the validity and enforceability of our patents and proprietary information and technologies.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acknowledge ownership by us of inventions conceived as a result of employment from the point of conception and, to the extent necessary, perfect such ownership by assignment,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disputes may be costly, time consuming, and may negatively affect our competitive position.*</w:t>
      </w:r>
    </w:p>
    <w:p>
      <w:pPr>
        <w:spacing w:after="0" w:line="11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have initiated and may again initiate or become party to or be threatened with future litigation or other proceedings regarding intellectual property rights with respect to our product candidates and competing products.</w:t>
      </w:r>
    </w:p>
    <w:p>
      <w:pPr>
        <w:spacing w:after="0" w:line="1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our product candidates progress toward commercialization, 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w:t>
      </w:r>
    </w:p>
    <w:p>
      <w:pPr>
        <w:spacing w:after="0" w:line="19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Third parties have challenged and may again challenge our patents and patent applications. For example, various challenges against our HIF anemia-related technologies patent portfolio are ongoing in several territories including the U.S., Europe, the United Kingdom, and Japan. Regardless of final outcome, the potential narrowing or revocation of any of the HIF anemia-related technology patents does not affect our exclusivity for roxadustat or our freedom-to-operate with respect to use of roxadustat for the treatment of anemia in these or other territories.</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Oppositions were filed against our European Patent No. 2872488 (the “`488 Patent”), which claims a crystalline form of roxadustat, and against our European Patent No. 3003284 (the “`284 Patent”), which claims photostable formulations of roxadustat. To date, at oral proceedings, the Opposition Division of the European Patent Office found the ‘488 patent did not meet the grounds for novelty. FibroGen plans to appeal this decision once the Written Decision providing the underlying reasoning has been published. Final resolution of the opposition proceedings will take time, and we cannot be assured of the breadth of the claims that will remain in the `488 Patent or `284 Patent, or that either or both of the patents will not be revoked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-187960</wp:posOffset>
            </wp:positionV>
            <wp:extent cx="285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500" w:right="300" w:hanging="492"/>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500" w:right="160" w:hanging="492"/>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500" w:right="58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500" w:right="84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500" w:right="50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500" w:right="40" w:hanging="492"/>
        <w:spacing w:after="0" w:line="286"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approval process is highly uncertain and we may not obtain regulatory approval for our product candidates.*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For example, while we have received approval of our marketing authorization applications for roxadustat in the European Union, Great Britain, China, Japan, South Korea, and Chile for CKD anemia for patients on dialysis and not on dialysis, we received a CRL in the U.S. from the FDA. It is possible that roxadustat will not obtain regulatory approval in additional countries or indications. It is possible that neither pamrevlumab, nor any future product candidates we may discover, in-license or acquire and seek to develop in the future, will obtain regulatory approval in any jurisdiction.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candidates could fail to receive regulatory approval from the FDA or other regulatory authorities for many reasons, including:*</w:t>
      </w:r>
    </w:p>
    <w:p>
      <w:pPr>
        <w:spacing w:after="0" w:line="140"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500" w:right="120" w:hanging="492"/>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500" w:right="260" w:hanging="492"/>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FDA or other regulatory authorities may require more information, including additional preclinical or clinical data to support approval, or different analyses, which may delay or prevent approval and our commercialization plans, or we may decide to abandon the development program altogether. For example, in August 2021, the FDA issued a CRL regarding roxadustat’s NDA for the treatment of anemia due to CKD in adult patients, stating that it could not be approved in its present form. We plan on meeting with the FDA to discuss what additional study or studies and data are required for approval in CKD anemia.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6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 For example, while we have received approval of our marketing authorization applications for roxadustat in the European Union, Great Britain, China, Japan, South Korea, and Chile for CKD anemia for patients on dialysis and not on dialysis, we received a CRL in the U.S. from the FDA.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current and future relationships with customers, physicians, and third-party payors are subject to healthcare fraud and abuse laws, false claims laws, transparency laws, privacy and security laws, and other regulations. If we are unable to comply with such laws, we could face substantial penalties.*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w:t>
      </w:r>
    </w:p>
    <w:p>
      <w:pPr>
        <w:spacing w:after="0" w:line="84" w:lineRule="exact"/>
        <w:rPr>
          <w:sz w:val="20"/>
          <w:szCs w:val="20"/>
          <w:color w:val="auto"/>
        </w:rPr>
      </w:pPr>
    </w:p>
    <w:p>
      <w:pPr>
        <w:ind w:left="500" w:right="20" w:hanging="492"/>
        <w:spacing w:after="0" w:line="263"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jc w:val="both"/>
        <w:ind w:left="500" w:right="640" w:hanging="492"/>
        <w:spacing w:after="0" w:line="263"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500" w:right="120" w:hanging="492"/>
        <w:spacing w:after="0" w:line="308"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of 1996 (“HIPAA”), which created new federal criminal statutes that prohibit, among other things,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500" w:right="80" w:hanging="492"/>
        <w:spacing w:after="0" w:line="259"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on certain covered healthcare providers, health plans, and healthcare clearinghouses as well as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31" w:lineRule="exact"/>
        <w:rPr>
          <w:sz w:val="20"/>
          <w:szCs w:val="20"/>
          <w:color w:val="auto"/>
        </w:rPr>
      </w:pPr>
    </w:p>
    <w:p>
      <w:pPr>
        <w:ind w:left="500" w:right="200" w:hanging="492"/>
        <w:spacing w:after="0" w:line="291" w:lineRule="auto"/>
        <w:tabs>
          <w:tab w:leader="none" w:pos="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federal physician sunshine requirements under the Patient Protection and Affordable Care Act, as amended by the Health Care and Education Reconciliation Act of 2010 (collectively, the “PPACA”), which requires manufacturers of drugs, devices, biologics, and medical supplies to report annually to the Centers for Medicare &amp; Medicaid Services (“CMS”), information related to payments and other transfers of value to physicians, other healthcare providers, and teaching hospitals, and ownership and investment interests held by physicians and other healthcare providers and their immediate family members. Beginning in 2022, applicable manufacturers also will be required to report information regarding payments and other transfers of value provided during the previous year to additional healthcare providers, including physician assistants, nurse practitioners, clinical nurse specialists, certified registered nurse anesthetists, anesthesiologist assistants, and certified nurse midwives;</w:t>
      </w:r>
    </w:p>
    <w:p>
      <w:pPr>
        <w:spacing w:after="0" w:line="58" w:lineRule="exact"/>
        <w:rPr>
          <w:rFonts w:ascii="Arial" w:cs="Arial" w:eastAsia="Arial" w:hAnsi="Arial"/>
          <w:sz w:val="16"/>
          <w:szCs w:val="16"/>
          <w:color w:val="auto"/>
        </w:rPr>
      </w:pPr>
    </w:p>
    <w:p>
      <w:pPr>
        <w:ind w:left="500" w:hanging="492"/>
        <w:spacing w:after="0" w:line="272"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foreign and state law equivalents of each of the above federal laws, such as the U.S. Foreign Corrupt Practices Act (“FCPA”), anti-kickback and false claims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69" w:lineRule="exact"/>
        <w:rPr>
          <w:rFonts w:ascii="Arial" w:cs="Arial" w:eastAsia="Arial" w:hAnsi="Arial"/>
          <w:sz w:val="17"/>
          <w:szCs w:val="17"/>
          <w:color w:val="auto"/>
        </w:rPr>
      </w:pPr>
    </w:p>
    <w:p>
      <w:pPr>
        <w:ind w:left="500" w:right="140" w:hanging="492"/>
        <w:spacing w:after="0" w:line="273"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7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scope of these laws and our lack of experience in establishing the compliance programs necessary to comply with this complex and evolving regulatory environment increases the risks that we may unknowingly violate the applicable laws and regulations. If our operations are found to be in violation of any of such laws or any other governmental regulations that apply to us, we may be subject to significant penalties, including administrative, civil and criminal penalties, damages, fines,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laws and regulations governing corruption, which will require us to maintain costly compliance programs.*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must comply with a wide range of laws and regulations to prevent corruption, bribery, and other unethical business practices, including the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U.S. Securities and Exchange Commission (“SEC”) is involved with enforcement of the books and records provisions of the FCPA.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9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we are unable to remediate these, or if we otherwise fail to maintain an effective system of internal control, it may result in material misstatements in our financial statements.</w:t>
      </w:r>
    </w:p>
    <w:p>
      <w:pPr>
        <w:spacing w:after="0" w:line="3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September 30, 2020, we have identified a material weakness in the risk assessment component of internal control as we did not appropriately design and maintain an effective risk assessment process at a precise enough level to identify new and evolving risks of material misstatement to the financial statements as a result of changes in our business operation. This material weakness gave rise to the following additional control deficiencies, which we also determined to be material weaknesses. We did not design and maintain effective controls related to the timely identification of shipments associated with drug product revenue and we did not design and maintain effective controls related to the timely identification of changes in estimated variable consideration related to drug product revenue. Each of these material weaknesses could result in material misstatements in the drug product revenue, contract asset, or contract liability account balances or disclosures in our annual or interim consolidated financial statements that would not be prevented or detected. The material weaknesses described above did not result in any material misstatements of our consolidated financial statements or disclosures, but did result in immaterial out-of-period adjustments to drug product revenue related to pre-commercial shipments of drug product, contract assets and contract liabilities, and related financial statement disclosures during the quarter ended September 30, 2020.</w:t>
      </w:r>
    </w:p>
    <w:p>
      <w:pPr>
        <w:spacing w:after="0" w:line="168" w:lineRule="exact"/>
        <w:rPr>
          <w:sz w:val="20"/>
          <w:szCs w:val="20"/>
          <w:color w:val="auto"/>
        </w:rPr>
      </w:pPr>
    </w:p>
    <w:p>
      <w:pPr>
        <w:jc w:val="both"/>
        <w:ind w:right="560"/>
        <w:spacing w:after="0" w:line="342" w:lineRule="auto"/>
        <w:rPr>
          <w:sz w:val="20"/>
          <w:szCs w:val="20"/>
          <w:color w:val="auto"/>
        </w:rPr>
      </w:pPr>
      <w:r>
        <w:rPr>
          <w:rFonts w:ascii="Arial" w:cs="Arial" w:eastAsia="Arial" w:hAnsi="Arial"/>
          <w:sz w:val="16"/>
          <w:szCs w:val="16"/>
          <w:color w:val="auto"/>
        </w:rPr>
        <w:t>We have developed a detailed remediation plan and are making progress to improve our related internal control over financial reporting. For further discussion of the material weaknesses identified and our remedial efforts, see Part II, Item 9A, “</w:t>
      </w:r>
      <w:r>
        <w:rPr>
          <w:rFonts w:ascii="Arial" w:cs="Arial" w:eastAsia="Arial" w:hAnsi="Arial"/>
          <w:sz w:val="16"/>
          <w:szCs w:val="16"/>
          <w:i w:val="1"/>
          <w:iCs w:val="1"/>
          <w:color w:val="auto"/>
        </w:rPr>
        <w:t>Controls and Procedures”</w:t>
      </w:r>
      <w:r>
        <w:rPr>
          <w:rFonts w:ascii="Arial" w:cs="Arial" w:eastAsia="Arial" w:hAnsi="Arial"/>
          <w:sz w:val="16"/>
          <w:szCs w:val="16"/>
          <w:color w:val="auto"/>
        </w:rPr>
        <w:t xml:space="preserve"> in our 2020 Form 10-K.</w:t>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Remediation efforts place a significant burden on management and add increased pressure on our financial resources and processes. If we are unable to successfully remediate our existing or any future material weaknesses or other deficiencies in our internal control over financial reporting, the accuracy and timing of our financial reporting may be adversely affected, our liquidity,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U.S. healthcare reform may adversely affect our business model.*</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or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No legislation or administrative actions have been finalized to implement these principles. In addition, Congress is considering drug pricing as part of the budget reconciliation process.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End-Stage Renal Disease Prospective Payment System (the “ESRD PPS”) bundle now covers drugs, services, lab tests and supplies under a single treatment base rate for reimbursement by the CMS based on the average cost per treatment, including the cost of ESAs and IV iron doses, typically without adjustment for usage. It is unknown whether roxadustat, if approved in the U.S., will be included in the payment bundle or the timing of inclusion.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initially be included in the bundle and would instead be eligible for a Transitional Drug Add-on Payment Adjustment (“TDAPA”) for a 24-month period. At the 24-month mark, CMS would determine if the TDAPA period should be extended for roxadustat or ended. When the TDAPA period ends, CMS would determine if roxadustat should be included in the bundle and, if so, what changes to the ESRD PPS reimbursement should be made. If roxadustat is included in the ESRD PPS bundle, it may have an impact on roxadustat pricing within dialysis organizations. If approved and roxadustat is not included in the bundle after the TDAPA period, and would therefore be reimbursed outside of the bundle, it may potentially limit further market penetration of roxadustat. If approved in the U.S., we would expect roxadustat to be granted TDAPA designation one to two calendar quarters after an FDA approval. However, there is a risk that we do not receive TDAPA designation, or when we expect it, in which case, there would be a significant impact on roxadustat revenue from dialysis organizations until TDAPA designation is granted.</w:t>
      </w:r>
    </w:p>
    <w:p>
      <w:pPr>
        <w:spacing w:after="0" w:line="19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Further, it is possible that additional government action is taken in response to the COVID-19 pandemic.</w:t>
      </w:r>
    </w:p>
    <w:p>
      <w:pPr>
        <w:spacing w:after="0" w:line="2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improper activities, which could result in significant liability or harm our reputation.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17" w:lineRule="exact"/>
        <w:rPr>
          <w:rFonts w:ascii="Arial" w:cs="Arial" w:eastAsia="Arial" w:hAnsi="Arial"/>
          <w:sz w:val="18"/>
          <w:szCs w:val="18"/>
          <w:color w:val="auto"/>
        </w:rPr>
      </w:pPr>
    </w:p>
    <w:p>
      <w:pPr>
        <w:ind w:left="500" w:right="680" w:hanging="492"/>
        <w:spacing w:after="0" w:line="27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environmental, health or safety laws and regulations, we could incur fines, penalties or other costs.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different countries;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117" w:lineRule="exact"/>
        <w:rPr>
          <w:rFonts w:ascii="Arial" w:cs="Arial" w:eastAsia="Arial" w:hAnsi="Arial"/>
          <w:sz w:val="18"/>
          <w:szCs w:val="18"/>
          <w:color w:val="auto"/>
        </w:rPr>
      </w:pPr>
    </w:p>
    <w:p>
      <w:pPr>
        <w:ind w:left="500" w:right="56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 and foreign taxes, including income, excise, customs, consumption, withholding, and payroll taxes;</w:t>
      </w:r>
    </w:p>
    <w:p>
      <w:pPr>
        <w:spacing w:after="0" w:line="117"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costs and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500" w:right="62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500" w:right="56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specific to an international region, including war and terrorism, or natural disasters, including the differing impact of the COVID-19 pandemic on each region.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distributing drugs in China.</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have established a jointly owned entity with AstraZeneca in China, one that has a distribution license. It is subject to a new body of regulations pertaining to distribution with which we have limited experience. This new distribution structure may impose higher costs or limit or delay our ability to sell products to our principal customers, and may limit the near term sales of our products. There are operational risks associated with the jointly owned entity, such as working capital funding requirements and regulatory challenges, which could impact our ability to operate in China, including increasing sales of roxadustat. We have limited experience managing distribution of pharmaceutical products, and this new distribution structure may impose higher costs or limit or delay our ability to sell products to our principal customers, and may limit the near term sales of our products.</w:t>
      </w:r>
    </w:p>
    <w:p>
      <w:pPr>
        <w:spacing w:after="0" w:line="28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have two manufacturing facilities in China, with one located in Beijing and the other in Cangzhou, Hebei.</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maintain all of the appropriate licenses required to manufacture our product candidates for clinical and commercial use in China. In addition, our product suppliers and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Manufacturing facilities in China are subject to periodic unannounced inspections by the NMPA and other regulatory authorities. We expect to depend on these facilities for our product candidates and business operations in China, and we do not yet have a secondary source supplier for either roxadustat API or drug product in China. Natural disasters or other unanticipated catastrophic events, including power interruptions, water shortages, storms, fires, pandemics (including the COVID-19 pandemic),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As a company, we have limited experience in pharmacovigilance, medical affairs, and management of the third-party distribution logistics, and cannot assure you we will be able to meet regulatory requirements or operate in these capacities successfully.</w:t>
      </w:r>
    </w:p>
    <w:p>
      <w:pPr>
        <w:spacing w:after="0" w:line="6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are responsible for commercial manufacturing, pharmacovigilance, medical affairs, and management of the third-party distribution logistics (with AstraZeneca through a jointly owned entity that will perform roxadustat distribution) for roxadustat commercial activities in China. While we have been increasing our staffing in these areas, as a company, we have limited experience managing or operating these functions for a commercial product and there can be no guarantee that we will do so efficiently or effectively. Mistakes or delays in these areas could limit our ability to successfully commercialize roxadustat in China, could limit our eventual market penetration, sales and profitability, and could subject us to significant liability in China.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collaboration partner in China, AstraZeneca, and we may experience difficulties in successfully growing and sustaining sales of roxadustat in China.*</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AstraZeneca and we have a profit sharing arrangement with respect to roxadustat in China and any difficulties we may experience in growing and sustaining sales will affect our bottom line. Difficulties may be related to our ability to maintain reasonable pricing and reimbursement, obtain and maintain hospital listing, or other difficulties related to distribution, marketing, and sales efforts in China. Our current National Reimbursement Drug List reimbursement pricing is effective for a standard two-year period (between January 1, 2020 to December 31, 2021), and we are in the process of finalizing a new reimbursement price with the Chinese government, which will be lower than the current reimbursement price for roxadustat. Sales of roxadustat in China may ultimately be limited due to the complex nature of the healthcare system, low average personal income, pricing controls, still developing infrastructure and potentially rapid competition from other products.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pricing control in China and elsewhere.</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September 30, 2021, approximately $56.0 million of our cash and cash equivalents is held in China.</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against the U.S. dollar, Euro and other currencies are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has proposed to increase the U.S. corporate income tax rate from 21%, increase the U.S. taxation of our international business operations and impose a global minimum tax. Such proposed changes, as well as regulations and legal decisions interpreting and applying these changes, may adversely impact our effective tax rate.</w:t>
      </w:r>
    </w:p>
    <w:p>
      <w:pPr>
        <w:spacing w:after="0" w:line="16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and regulations could have a material adverse effect on us.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that affect the way we or our collaboration partner do business in China (including the manufacture, sale, or distribution of roxadustat in China). Navigating the uncertainty and change in the China legal and regulatory systems will require the devotion of significant resources and time, and there can be no assurance that our contractual and other rights will ultimately be maintained or enforced.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China’s economic, governmental, or social conditions could have a material adverse effect on our business.</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2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are a biopharmaceutical company with two lead product candidates in clinical development, roxadustat for anemia in CKD, MDS, and chemotherapy-induced anemia, and pamrevlumab for IPF, pancreatic cancer, and DMD.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 ended December 31, 2020, 2019 and 2018 were $189.3 million, $77.0 million and $86.4 million, respectively. As of September 30, 2021, we had an accumulated deficit of $1.1 billion. As of September 30, 2021, we had capital resources consisting of cash, cash equivalents and short-term investments of $486.4 million plus $142.6 million of long-term investments classified as available for sale securities. Despite contractual development and cost coverage commitments from our collaboration partners, AstraZeneca and Astellas, and the potential to receive milestone and other payments from these partners, and despite commercialization efforts in the China and Japan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to grow our operations in China, expand our clinical development efforts on pamrevlumab, continue to seek regulatory approval, establish commercialization capabilities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third-party collaboration revenues will allow us to fund our operating plans through at least the next 12 months.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of our recent revenue has been earned from collaboration partners for our product candidates under development.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either or both of our Astellas and AstraZeneca collaborations were to be terminated, we could require significant additional capital in order to proceed with development and commercialization of our product candidates, including with respect to our potential commercialization of roxadustat for the treatment of anemia caused by CKD, or we may require additional partnering in order to help fund such development and commercialization. If adequate funds or partners are not available to us on a timely basis or on favorable terms, we may be required to delay, limit, reduce or terminate our development or commercialization efforts or other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senior management and key personnel could adversely affect our business.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highly dependent on members of our senior management team, including Enrique Conterno, our Chief Executive Officer. The loss of the services of Mr. Conterno or any of our senior management could significantly impact the development and commercialization of our products and product candidates and our ability to successfully implement our business strategy.</w:t>
      </w:r>
    </w:p>
    <w:p>
      <w:pPr>
        <w:spacing w:after="0" w:line="18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have to limit commercial operations.</w:t>
      </w:r>
    </w:p>
    <w:p>
      <w:pPr>
        <w:spacing w:after="0" w:line="1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8"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2019, and have continued to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sophisticated information technology systems and could face a cyber-attack or other breach of these systems.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upgraded our disaster data recovery program in March 2019,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costs and expenses, expenses or lost revenues or other adverse consequences, any of which could have a material adverse effect on our business, results of operations, financial condition, prospects and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headquarters are located near known earthquake fault zones.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deductibles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principal stockholders own a significant percentage of our stock and will be able to exercise influence over stockholder approvals.*</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October 31, 2021, our executive officers, directors and principal stockholders, together with their respective affiliates, owned approximately 37.47%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January 31, 2020.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dilute stockholders and harm our business.</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76"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6"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reprioritization of our development programs and even cessation of development and commercialization of our current product candidates;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500" w:right="340" w:hanging="492"/>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500" w:right="200" w:hanging="492"/>
        <w:spacing w:after="0" w:line="27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500" w:right="320" w:hanging="492"/>
        <w:spacing w:after="0" w:line="27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also subject to non-income taxes, such as payroll,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spacing w:after="0" w:line="18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Federal and state tax laws impose substantial restrictions on the utilization of net operating loss and credit carryforwards in the event of an “ownership change” for tax purposes, as defined in IRC Section 382. If additional ownership change occurs, the utilization of net operating loss and credit carryforwards could be significantly reduced.</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our judgment in providing for the possible impact of the Tax Act remains subject to developing interpretations of the provisions of the Tax Act. As regulations and guidance evolve with respect to the Tax Act, we continue to examine the impact to our tax provision or exposure to additional tax liabilities, which could have a material adverse effect on our business, results of operations or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Tariffs imposed by the U.S. and those imposed in response by other countries could have a material adverse effect on our business.</w:t>
      </w:r>
    </w:p>
    <w:p>
      <w:pPr>
        <w:spacing w:after="0" w:line="1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2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plan to pay dividends. Capital appreciation will be your sole possible source of gain, which may never occur.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 press release on April 6, 2021, the Company clarified that certain previously disclosed cardiovascular safety analyses from the roxadustat Phase 3 program for the treatment of anemia in chronic kidney disease included post-hoc changes to the stratification factors, and provided additional data from the cardiovascular safety analyses with the pre-specified stratification factors. As stated at that time, the Company initiated an internal review to ensure this does not occur in the future. We have now completed that review.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major findings are as follows:</w:t>
      </w:r>
    </w:p>
    <w:p>
      <w:pPr>
        <w:spacing w:after="0" w:line="117" w:lineRule="exact"/>
        <w:rPr>
          <w:sz w:val="20"/>
          <w:szCs w:val="20"/>
          <w:color w:val="auto"/>
        </w:rPr>
      </w:pPr>
    </w:p>
    <w:p>
      <w:pPr>
        <w:ind w:left="720" w:hanging="712"/>
        <w:spacing w:after="0"/>
        <w:tabs>
          <w:tab w:leader="none" w:pos="7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underlying data used for cardiovascular safety analyses are accurate, with no data integrity issues with the data used to generate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analyses.</w:t>
      </w:r>
    </w:p>
    <w:p>
      <w:pPr>
        <w:spacing w:after="0" w:line="102" w:lineRule="exact"/>
        <w:rPr>
          <w:rFonts w:ascii="Arial" w:cs="Arial" w:eastAsia="Arial" w:hAnsi="Arial"/>
          <w:sz w:val="17"/>
          <w:szCs w:val="17"/>
          <w:color w:val="auto"/>
        </w:rPr>
      </w:pPr>
    </w:p>
    <w:p>
      <w:pPr>
        <w:ind w:right="160" w:firstLine="8"/>
        <w:spacing w:after="0" w:line="263"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its NDA, the Company calculated accurately and described both sets of analyses, including the statistical methodologies and stratification factors utilized. The statistical analyses using post-hoc stratification factors were designated as “primary” analysis, and the statistical analyses using pre-specified stratification factors as a “sensitivity” analysis.</w:t>
      </w:r>
    </w:p>
    <w:p>
      <w:pPr>
        <w:spacing w:after="0" w:line="75" w:lineRule="exact"/>
        <w:rPr>
          <w:rFonts w:ascii="Arial" w:cs="Arial" w:eastAsia="Arial" w:hAnsi="Arial"/>
          <w:sz w:val="18"/>
          <w:szCs w:val="18"/>
          <w:color w:val="auto"/>
        </w:rPr>
      </w:pPr>
    </w:p>
    <w:p>
      <w:pPr>
        <w:ind w:right="140" w:firstLine="8"/>
        <w:spacing w:after="0" w:line="263"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believe a number of elements contributed to the fact that the cardiovascular safety analyses designated as primary included post-hoc stratification factors. These include a complex data set with data from multiple clinical studies conducted by three companies, and a lack of clarity in the pooled cardiovascular safety analysis plans which identified multiple statistical methods and assessment periods.</w:t>
      </w:r>
    </w:p>
    <w:p>
      <w:pPr>
        <w:spacing w:after="0" w:line="75" w:lineRule="exact"/>
        <w:rPr>
          <w:rFonts w:ascii="Arial" w:cs="Arial" w:eastAsia="Arial" w:hAnsi="Arial"/>
          <w:sz w:val="18"/>
          <w:szCs w:val="18"/>
          <w:color w:val="auto"/>
        </w:rPr>
      </w:pPr>
    </w:p>
    <w:p>
      <w:pPr>
        <w:ind w:right="180" w:firstLine="8"/>
        <w:spacing w:after="0" w:line="263"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addition, this information was compartmentalized within the organization, which relied on the founder and then-CEO to make key decisions and facilitate internal communication between groups. He unfortunately passed away in August 2019 prior to public disclosure of the detailed pooled safety analyses and the NDA filing.</w:t>
      </w:r>
    </w:p>
    <w:p>
      <w:pPr>
        <w:spacing w:after="0" w:line="75" w:lineRule="exact"/>
        <w:rPr>
          <w:rFonts w:ascii="Arial" w:cs="Arial" w:eastAsia="Arial" w:hAnsi="Arial"/>
          <w:sz w:val="18"/>
          <w:szCs w:val="18"/>
          <w:color w:val="auto"/>
        </w:rPr>
      </w:pPr>
    </w:p>
    <w:p>
      <w:pPr>
        <w:ind w:left="720" w:hanging="712"/>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Those responsible for the statistical analyses believed that it was a reasonable and valid way to analyze and present the data.</w:t>
      </w:r>
    </w:p>
    <w:p>
      <w:pPr>
        <w:spacing w:after="0" w:line="225"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Management is taking steps to ensure the Company’s processes are consistent with best practices in all respects. We plan to implement and improve a number of processes and procedures, including independent quality unit oversight of clinical data management, programming, analysis, and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Those directly responsible for the decision to use post-hoc stratification factors in the primary analyses no longer work for the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Incorporation By Reference</w:t>
            </w:r>
          </w:p>
        </w:tc>
        <w:tc>
          <w:tcPr>
            <w:tcW w:w="1180" w:type="dxa"/>
            <w:vAlign w:val="bottom"/>
            <w:tcBorders>
              <w:bottom w:val="single" w:sz="8" w:color="auto"/>
            </w:tcBorders>
          </w:tcPr>
          <w:p>
            <w:pPr>
              <w:spacing w:after="0"/>
              <w:rPr>
                <w:sz w:val="14"/>
                <w:szCs w:val="14"/>
                <w:color w:val="auto"/>
              </w:rPr>
            </w:pPr>
          </w:p>
        </w:tc>
      </w:tr>
      <w:tr>
        <w:trPr>
          <w:trHeight w:val="155"/>
        </w:trPr>
        <w:tc>
          <w:tcPr>
            <w:tcW w:w="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180" w:type="dxa"/>
            <w:vAlign w:val="bottom"/>
            <w:tcBorders>
              <w:bottom w:val="single" w:sz="8" w:color="auto"/>
            </w:tcBorders>
            <w:gridSpan w:val="14"/>
          </w:tcPr>
          <w:p>
            <w:pPr>
              <w:ind w:left="660"/>
              <w:spacing w:after="0" w:line="155" w:lineRule="exact"/>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Form</w:t>
            </w:r>
          </w:p>
        </w:tc>
        <w:tc>
          <w:tcPr>
            <w:tcW w:w="80" w:type="dxa"/>
            <w:vAlign w:val="bottom"/>
          </w:tcPr>
          <w:p>
            <w:pPr>
              <w:spacing w:after="0"/>
              <w:rPr>
                <w:sz w:val="13"/>
                <w:szCs w:val="13"/>
                <w:color w:val="auto"/>
              </w:rPr>
            </w:pPr>
          </w:p>
        </w:tc>
        <w:tc>
          <w:tcPr>
            <w:tcW w:w="116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SEC File No.</w:t>
            </w:r>
          </w:p>
        </w:tc>
        <w:tc>
          <w:tcPr>
            <w:tcW w:w="60" w:type="dxa"/>
            <w:vAlign w:val="bottom"/>
          </w:tcPr>
          <w:p>
            <w:pPr>
              <w:spacing w:after="0"/>
              <w:rPr>
                <w:sz w:val="13"/>
                <w:szCs w:val="13"/>
                <w:color w:val="auto"/>
              </w:rPr>
            </w:pPr>
          </w:p>
        </w:tc>
        <w:tc>
          <w:tcPr>
            <w:tcW w:w="100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3"/>
                <w:szCs w:val="13"/>
                <w:color w:val="auto"/>
              </w:rPr>
            </w:pPr>
          </w:p>
        </w:tc>
        <w:tc>
          <w:tcPr>
            <w:tcW w:w="118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263"/>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2"/>
                <w:szCs w:val="22"/>
                <w:color w:val="auto"/>
              </w:rPr>
            </w:pPr>
          </w:p>
        </w:tc>
        <w:tc>
          <w:tcPr>
            <w:tcW w:w="5000" w:type="dxa"/>
            <w:vAlign w:val="bottom"/>
            <w:tcBorders>
              <w:bottom w:val="single" w:sz="8" w:color="0000EE"/>
            </w:tcBorders>
            <w:gridSpan w:val="9"/>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Amended and Restated Certificate of Incorporation of FibroGen, Inc.</w:t>
              </w:r>
            </w:hyperlink>
          </w:p>
        </w:tc>
        <w:tc>
          <w:tcPr>
            <w:tcW w:w="900" w:type="dxa"/>
            <w:vAlign w:val="bottom"/>
            <w:gridSpan w:val="9"/>
          </w:tcPr>
          <w:p>
            <w:pPr>
              <w:spacing w:after="0"/>
              <w:rPr>
                <w:sz w:val="22"/>
                <w:szCs w:val="2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6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3560" w:type="dxa"/>
            <w:vAlign w:val="bottom"/>
            <w:tcBorders>
              <w:bottom w:val="single" w:sz="8" w:color="0000EE"/>
            </w:tcBorders>
            <w:gridSpan w:val="6"/>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Bylaws of FibroGen, Inc.</w:t>
              </w:r>
            </w:hyperlink>
          </w:p>
        </w:tc>
        <w:tc>
          <w:tcPr>
            <w:tcW w:w="2340" w:type="dxa"/>
            <w:vAlign w:val="bottom"/>
            <w:gridSpan w:val="12"/>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2620" w:type="dxa"/>
            <w:vAlign w:val="bottom"/>
            <w:tcBorders>
              <w:bottom w:val="single" w:sz="8" w:color="0000EE"/>
            </w:tcBorders>
            <w:gridSpan w:val="4"/>
          </w:tcPr>
          <w:p>
            <w:pPr>
              <w:spacing w:after="0"/>
              <w:rPr>
                <w:rFonts w:ascii="Arial" w:cs="Arial" w:eastAsia="Arial" w:hAnsi="Arial"/>
                <w:sz w:val="18"/>
                <w:szCs w:val="18"/>
                <w:color w:val="0000EE"/>
                <w:w w:val="92"/>
              </w:rPr>
            </w:pPr>
            <w:hyperlink r:id="rId116">
              <w:r>
                <w:rPr>
                  <w:rFonts w:ascii="Arial" w:cs="Arial" w:eastAsia="Arial" w:hAnsi="Arial"/>
                  <w:sz w:val="18"/>
                  <w:szCs w:val="18"/>
                  <w:color w:val="0000EE"/>
                  <w:w w:val="92"/>
                </w:rPr>
                <w:t>Form of Common Stock Certificate.</w:t>
              </w:r>
            </w:hyperlink>
          </w:p>
        </w:tc>
        <w:tc>
          <w:tcPr>
            <w:tcW w:w="3280" w:type="dxa"/>
            <w:vAlign w:val="bottom"/>
            <w:gridSpan w:val="14"/>
          </w:tcPr>
          <w:p>
            <w:pPr>
              <w:spacing w:after="0"/>
              <w:rPr>
                <w:sz w:val="24"/>
                <w:szCs w:val="2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5380" w:type="dxa"/>
            <w:vAlign w:val="bottom"/>
            <w:tcBorders>
              <w:bottom w:val="single" w:sz="8" w:color="0000EE"/>
            </w:tcBorders>
            <w:gridSpan w:val="12"/>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Shareholders’ Agreement by and among FibroGen International (Cayman)</w:t>
              </w:r>
            </w:hyperlink>
          </w:p>
        </w:tc>
        <w:tc>
          <w:tcPr>
            <w:tcW w:w="520" w:type="dxa"/>
            <w:vAlign w:val="bottom"/>
            <w:gridSpan w:val="6"/>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11/8/2017</w:t>
            </w: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Limited and certain of its shareholders, dated as of September 8, 2017.</w:t>
              </w:r>
            </w:hyperlink>
          </w:p>
        </w:tc>
        <w:tc>
          <w:tcPr>
            <w:tcW w:w="80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4"/>
                <w:szCs w:val="24"/>
                <w:color w:val="auto"/>
              </w:rPr>
            </w:pPr>
          </w:p>
        </w:tc>
        <w:tc>
          <w:tcPr>
            <w:tcW w:w="5900" w:type="dxa"/>
            <w:vAlign w:val="bottom"/>
            <w:gridSpan w:val="18"/>
          </w:tcPr>
          <w:p>
            <w:pPr>
              <w:spacing w:after="0"/>
              <w:rPr>
                <w:rFonts w:ascii="Arial" w:cs="Arial" w:eastAsia="Arial" w:hAnsi="Arial"/>
                <w:sz w:val="18"/>
                <w:szCs w:val="18"/>
                <w:color w:val="0000EE"/>
              </w:rPr>
            </w:pPr>
            <w:hyperlink r:id="rId118">
              <w:r>
                <w:rPr>
                  <w:rFonts w:ascii="Arial" w:cs="Arial" w:eastAsia="Arial" w:hAnsi="Arial"/>
                  <w:sz w:val="18"/>
                  <w:szCs w:val="18"/>
                  <w:color w:val="0000EE"/>
                </w:rPr>
                <w:t>Common Stock Purchase Agreement by and between FibroGen, Inc. and</w:t>
              </w:r>
            </w:hyperlink>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4.17</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AstraZeneca AB, dated as of October 20, 2014.</w:t>
              </w:r>
            </w:hyperlink>
          </w:p>
        </w:tc>
        <w:tc>
          <w:tcPr>
            <w:tcW w:w="66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00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91"/>
        </w:trPr>
        <w:tc>
          <w:tcPr>
            <w:tcW w:w="1000" w:type="dxa"/>
            <w:vAlign w:val="bottom"/>
            <w:gridSpan w:val="2"/>
          </w:tcPr>
          <w:p>
            <w:pPr>
              <w:spacing w:after="0"/>
              <w:rPr>
                <w:sz w:val="20"/>
                <w:szCs w:val="20"/>
                <w:color w:val="auto"/>
              </w:rPr>
            </w:pPr>
            <w:r>
              <w:rPr>
                <w:rFonts w:ascii="Arial" w:cs="Arial" w:eastAsia="Arial" w:hAnsi="Arial"/>
                <w:sz w:val="18"/>
                <w:szCs w:val="18"/>
                <w:color w:val="auto"/>
              </w:rPr>
              <w:t>10.1*†</w:t>
            </w:r>
          </w:p>
        </w:tc>
        <w:tc>
          <w:tcPr>
            <w:tcW w:w="5900" w:type="dxa"/>
            <w:vAlign w:val="bottom"/>
            <w:gridSpan w:val="18"/>
          </w:tcPr>
          <w:p>
            <w:pPr>
              <w:spacing w:after="0"/>
              <w:rPr>
                <w:rFonts w:ascii="Arial" w:cs="Arial" w:eastAsia="Arial" w:hAnsi="Arial"/>
                <w:sz w:val="18"/>
                <w:szCs w:val="18"/>
                <w:color w:val="0000EE"/>
                <w:w w:val="97"/>
              </w:rPr>
            </w:pPr>
            <w:hyperlink w:anchor="page91">
              <w:r>
                <w:rPr>
                  <w:rFonts w:ascii="Arial" w:cs="Arial" w:eastAsia="Arial" w:hAnsi="Arial"/>
                  <w:sz w:val="18"/>
                  <w:szCs w:val="18"/>
                  <w:color w:val="0000EE"/>
                  <w:w w:val="97"/>
                </w:rPr>
                <w:t>Exclusive License Agreement by and between FibroGen, Inc. and Eluminex</w:t>
              </w:r>
            </w:hyperlink>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Biosciences (Suzhou) Limited as of July 16, 2021.</w:t>
              </w:r>
            </w:hyperlink>
          </w:p>
        </w:tc>
        <w:tc>
          <w:tcPr>
            <w:tcW w:w="1840" w:type="dxa"/>
            <w:vAlign w:val="bottom"/>
            <w:tcBorders>
              <w:top w:val="single" w:sz="8" w:color="0000EE"/>
            </w:tcBorders>
            <w:gridSpan w:val="6"/>
          </w:tcPr>
          <w:p>
            <w:pPr>
              <w:spacing w:after="0"/>
              <w:rPr>
                <w:sz w:val="17"/>
                <w:szCs w:val="17"/>
                <w:color w:val="auto"/>
              </w:rPr>
            </w:pPr>
          </w:p>
        </w:tc>
        <w:tc>
          <w:tcPr>
            <w:tcW w:w="42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55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35">
              <w:r>
                <w:rPr>
                  <w:rFonts w:ascii="Arial" w:cs="Arial" w:eastAsia="Arial" w:hAnsi="Arial"/>
                  <w:sz w:val="18"/>
                  <w:szCs w:val="18"/>
                  <w:color w:val="0000EE"/>
                  <w:w w:val="90"/>
                </w:rPr>
                <w:t>Offer Letter by and between FibroGen, Inc. and Juan Graham, effective as of</w:t>
              </w:r>
            </w:hyperlink>
          </w:p>
        </w:tc>
        <w:tc>
          <w:tcPr>
            <w:tcW w:w="340" w:type="dxa"/>
            <w:vAlign w:val="bottom"/>
            <w:gridSpan w:val="4"/>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00" w:type="dxa"/>
            <w:vAlign w:val="bottom"/>
            <w:gridSpan w:val="18"/>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July 30, 2021.</w:t>
              </w:r>
            </w:hyperlink>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56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39">
              <w:r>
                <w:rPr>
                  <w:rFonts w:ascii="Arial" w:cs="Arial" w:eastAsia="Arial" w:hAnsi="Arial"/>
                  <w:sz w:val="18"/>
                  <w:szCs w:val="18"/>
                  <w:color w:val="0000EE"/>
                  <w:w w:val="90"/>
                </w:rPr>
                <w:t>Transition Agreement by and between FibroGen, Inc. and Pat Cotroneo, dated</w:t>
              </w:r>
            </w:hyperlink>
          </w:p>
        </w:tc>
        <w:tc>
          <w:tcPr>
            <w:tcW w:w="260" w:type="dxa"/>
            <w:vAlign w:val="bottom"/>
            <w:gridSpan w:val="3"/>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39">
              <w:r>
                <w:rPr>
                  <w:rFonts w:ascii="Arial" w:cs="Arial" w:eastAsia="Arial" w:hAnsi="Arial"/>
                  <w:sz w:val="18"/>
                  <w:szCs w:val="18"/>
                  <w:color w:val="0000EE"/>
                  <w:w w:val="89"/>
                </w:rPr>
                <w:t>as of August 14, 2021.</w:t>
              </w:r>
            </w:hyperlink>
          </w:p>
        </w:tc>
        <w:tc>
          <w:tcPr>
            <w:tcW w:w="4260" w:type="dxa"/>
            <w:vAlign w:val="bottom"/>
            <w:gridSpan w:val="15"/>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70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151">
              <w:r>
                <w:rPr>
                  <w:rFonts w:ascii="Arial" w:cs="Arial" w:eastAsia="Arial" w:hAnsi="Arial"/>
                  <w:sz w:val="18"/>
                  <w:szCs w:val="18"/>
                  <w:color w:val="0000EE"/>
                  <w:w w:val="92"/>
                </w:rPr>
                <w:t>Certification of Chief Executive Officer, as required by Rule 13a-14(a) or Rule</w:t>
              </w:r>
            </w:hyperlink>
          </w:p>
        </w:tc>
        <w:tc>
          <w:tcPr>
            <w:tcW w:w="200" w:type="dxa"/>
            <w:vAlign w:val="bottom"/>
            <w:gridSpan w:val="2"/>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00" w:type="dxa"/>
            <w:vAlign w:val="bottom"/>
            <w:gridSpan w:val="18"/>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15d-14(a).</w:t>
              </w:r>
            </w:hyperlink>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5900" w:type="dxa"/>
            <w:vAlign w:val="bottom"/>
            <w:gridSpan w:val="18"/>
          </w:tcPr>
          <w:p>
            <w:pPr>
              <w:spacing w:after="0"/>
              <w:rPr>
                <w:rFonts w:ascii="Arial" w:cs="Arial" w:eastAsia="Arial" w:hAnsi="Arial"/>
                <w:sz w:val="18"/>
                <w:szCs w:val="18"/>
                <w:color w:val="0000EE"/>
                <w:w w:val="96"/>
              </w:rPr>
            </w:pPr>
            <w:hyperlink w:anchor="page152">
              <w:r>
                <w:rPr>
                  <w:rFonts w:ascii="Arial" w:cs="Arial" w:eastAsia="Arial" w:hAnsi="Arial"/>
                  <w:sz w:val="18"/>
                  <w:szCs w:val="18"/>
                  <w:color w:val="0000EE"/>
                  <w:w w:val="96"/>
                </w:rPr>
                <w:t>Certification of Chief Financial Officer, as required by Rule 13a-14(a) or Rule</w:t>
              </w:r>
            </w:hyperlink>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15d-14(a).</w:t>
              </w:r>
            </w:hyperlink>
          </w:p>
        </w:tc>
        <w:tc>
          <w:tcPr>
            <w:tcW w:w="26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564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153">
              <w:r>
                <w:rPr>
                  <w:rFonts w:ascii="Arial" w:cs="Arial" w:eastAsia="Arial" w:hAnsi="Arial"/>
                  <w:sz w:val="18"/>
                  <w:szCs w:val="18"/>
                  <w:color w:val="0000EE"/>
                  <w:w w:val="93"/>
                </w:rPr>
                <w:t>Certification of Principal Executive Officer and Principal Financial Officer, as</w:t>
              </w:r>
            </w:hyperlink>
          </w:p>
        </w:tc>
        <w:tc>
          <w:tcPr>
            <w:tcW w:w="260" w:type="dxa"/>
            <w:vAlign w:val="bottom"/>
            <w:gridSpan w:val="3"/>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00" w:type="dxa"/>
            <w:vAlign w:val="bottom"/>
            <w:gridSpan w:val="18"/>
          </w:tcPr>
          <w:p>
            <w:pPr>
              <w:spacing w:after="0" w:line="196" w:lineRule="exact"/>
              <w:rPr>
                <w:rFonts w:ascii="Arial" w:cs="Arial" w:eastAsia="Arial" w:hAnsi="Arial"/>
                <w:sz w:val="18"/>
                <w:szCs w:val="18"/>
                <w:color w:val="0000EE"/>
                <w:w w:val="94"/>
              </w:rPr>
            </w:pPr>
            <w:hyperlink w:anchor="page153">
              <w:r>
                <w:rPr>
                  <w:rFonts w:ascii="Arial" w:cs="Arial" w:eastAsia="Arial" w:hAnsi="Arial"/>
                  <w:sz w:val="18"/>
                  <w:szCs w:val="18"/>
                  <w:color w:val="0000EE"/>
                  <w:w w:val="94"/>
                </w:rPr>
                <w:t>required by Rule 13a-14(b) or Rule 15d-14(b) and Section 1350 of Chapter 63</w:t>
              </w:r>
            </w:hyperlink>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53">
              <w:r>
                <w:rPr>
                  <w:rFonts w:ascii="Arial" w:cs="Arial" w:eastAsia="Arial" w:hAnsi="Arial"/>
                  <w:sz w:val="18"/>
                  <w:szCs w:val="18"/>
                  <w:color w:val="0000EE"/>
                  <w:w w:val="91"/>
                </w:rPr>
                <w:t>of Title 18 of the United States Code (18 U.S.C. §1350)(1)).</w:t>
              </w:r>
            </w:hyperlink>
          </w:p>
        </w:tc>
        <w:tc>
          <w:tcPr>
            <w:tcW w:w="1300" w:type="dxa"/>
            <w:vAlign w:val="bottom"/>
            <w:tcBorders>
              <w:top w:val="single" w:sz="8" w:color="0000EE"/>
            </w:tcBorders>
            <w:gridSpan w:val="7"/>
          </w:tcPr>
          <w:p>
            <w:pPr>
              <w:spacing w:after="0"/>
              <w:rPr>
                <w:sz w:val="17"/>
                <w:szCs w:val="17"/>
                <w:color w:val="auto"/>
              </w:rPr>
            </w:pPr>
          </w:p>
        </w:tc>
        <w:tc>
          <w:tcPr>
            <w:tcW w:w="26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17"/>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900" w:type="dxa"/>
            <w:vAlign w:val="bottom"/>
            <w:gridSpan w:val="18"/>
          </w:tcPr>
          <w:p>
            <w:pPr>
              <w:spacing w:after="0"/>
              <w:rPr>
                <w:sz w:val="20"/>
                <w:szCs w:val="20"/>
                <w:color w:val="auto"/>
              </w:rPr>
            </w:pPr>
            <w:r>
              <w:rPr>
                <w:rFonts w:ascii="Arial" w:cs="Arial" w:eastAsia="Arial" w:hAnsi="Arial"/>
                <w:sz w:val="18"/>
                <w:szCs w:val="18"/>
                <w:color w:val="auto"/>
                <w:w w:val="93"/>
              </w:rPr>
              <w:t>Inline XBRL Instance Document: the instance document does not appear in the</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900" w:type="dxa"/>
            <w:vAlign w:val="bottom"/>
            <w:gridSpan w:val="18"/>
          </w:tcPr>
          <w:p>
            <w:pPr>
              <w:spacing w:after="0"/>
              <w:rPr>
                <w:sz w:val="20"/>
                <w:szCs w:val="20"/>
                <w:color w:val="auto"/>
              </w:rPr>
            </w:pPr>
            <w:r>
              <w:rPr>
                <w:rFonts w:ascii="Arial" w:cs="Arial" w:eastAsia="Arial" w:hAnsi="Arial"/>
                <w:sz w:val="18"/>
                <w:szCs w:val="18"/>
                <w:color w:val="auto"/>
                <w:w w:val="98"/>
              </w:rPr>
              <w:t>Interactive Data File because its XBRL tags are embedded within the Inline</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00" w:type="dxa"/>
            <w:vAlign w:val="bottom"/>
            <w:gridSpan w:val="18"/>
          </w:tcPr>
          <w:p>
            <w:pPr>
              <w:spacing w:after="0"/>
              <w:rPr>
                <w:sz w:val="20"/>
                <w:szCs w:val="20"/>
                <w:color w:val="auto"/>
              </w:rPr>
            </w:pPr>
            <w:r>
              <w:rPr>
                <w:rFonts w:ascii="Arial" w:cs="Arial" w:eastAsia="Arial" w:hAnsi="Arial"/>
                <w:sz w:val="18"/>
                <w:szCs w:val="18"/>
                <w:color w:val="auto"/>
              </w:rPr>
              <w:t>XBRL document</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90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90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90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1"/>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90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0"/>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90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96"/>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5900" w:type="dxa"/>
            <w:vAlign w:val="bottom"/>
            <w:gridSpan w:val="18"/>
          </w:tcPr>
          <w:p>
            <w:pPr>
              <w:spacing w:after="0"/>
              <w:rPr>
                <w:sz w:val="20"/>
                <w:szCs w:val="20"/>
                <w:color w:val="auto"/>
              </w:rPr>
            </w:pPr>
            <w:r>
              <w:rPr>
                <w:rFonts w:ascii="Arial" w:cs="Arial" w:eastAsia="Arial" w:hAnsi="Arial"/>
                <w:sz w:val="18"/>
                <w:szCs w:val="18"/>
                <w:color w:val="auto"/>
                <w:w w:val="99"/>
              </w:rPr>
              <w:t>Cover Page Interactive Data File (formatted as inline XBRL with applicable</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900" w:type="dxa"/>
            <w:vAlign w:val="bottom"/>
            <w:gridSpan w:val="18"/>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769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3" w:lineRule="exact"/>
        <w:rPr>
          <w:sz w:val="20"/>
          <w:szCs w:val="20"/>
          <w:color w:val="auto"/>
        </w:rPr>
      </w:pPr>
    </w:p>
    <w:p>
      <w:pPr>
        <w:ind w:left="500" w:right="580" w:hanging="492"/>
        <w:spacing w:after="0" w:line="260"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as the Company has determined that the omitted information is both (i) not material and (ii) the type of information that the Company treats as private or confidential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FibroGen, Inc.</w:t>
            </w:r>
          </w:p>
        </w:tc>
        <w:tc>
          <w:tcPr>
            <w:tcW w:w="4240" w:type="dxa"/>
            <w:vAlign w:val="bottom"/>
          </w:tcPr>
          <w:p>
            <w:pPr>
              <w:spacing w:after="0"/>
              <w:rPr>
                <w:sz w:val="17"/>
                <w:szCs w:val="17"/>
                <w:color w:val="auto"/>
              </w:rPr>
            </w:pPr>
          </w:p>
        </w:tc>
      </w:tr>
      <w:tr>
        <w:trPr>
          <w:trHeight w:val="480"/>
        </w:trPr>
        <w:tc>
          <w:tcPr>
            <w:tcW w:w="3720" w:type="dxa"/>
            <w:vAlign w:val="bottom"/>
          </w:tcPr>
          <w:p>
            <w:pPr>
              <w:spacing w:after="0"/>
              <w:rPr>
                <w:sz w:val="20"/>
                <w:szCs w:val="20"/>
                <w:color w:val="auto"/>
              </w:rPr>
            </w:pPr>
            <w:r>
              <w:rPr>
                <w:rFonts w:ascii="Arial" w:cs="Arial" w:eastAsia="Arial" w:hAnsi="Arial"/>
                <w:sz w:val="18"/>
                <w:szCs w:val="18"/>
                <w:color w:val="auto"/>
              </w:rPr>
              <w:t>Dated: November 9, 2021</w:t>
            </w:r>
          </w:p>
        </w:tc>
        <w:tc>
          <w:tcPr>
            <w:tcW w:w="214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Enrique Conterno</w:t>
            </w:r>
          </w:p>
        </w:tc>
      </w:tr>
      <w:tr>
        <w:trPr>
          <w:trHeight w:val="195"/>
        </w:trPr>
        <w:tc>
          <w:tcPr>
            <w:tcW w:w="37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Enrique Conterno</w:t>
            </w:r>
          </w:p>
        </w:tc>
      </w:tr>
      <w:tr>
        <w:trPr>
          <w:trHeight w:val="216"/>
        </w:trPr>
        <w:tc>
          <w:tcPr>
            <w:tcW w:w="3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7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Dated: November 9, 2021</w:t>
            </w:r>
          </w:p>
        </w:tc>
        <w:tc>
          <w:tcPr>
            <w:tcW w:w="214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Juan Graham</w:t>
            </w:r>
          </w:p>
        </w:tc>
      </w:tr>
      <w:tr>
        <w:trPr>
          <w:trHeight w:val="195"/>
        </w:trPr>
        <w:tc>
          <w:tcPr>
            <w:tcW w:w="37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Juan Graham</w:t>
            </w:r>
          </w:p>
        </w:tc>
      </w:tr>
      <w:tr>
        <w:trPr>
          <w:trHeight w:val="216"/>
        </w:trPr>
        <w:tc>
          <w:tcPr>
            <w:tcW w:w="3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7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64"/>
        </w:trPr>
        <w:tc>
          <w:tcPr>
            <w:tcW w:w="3720" w:type="dxa"/>
            <w:vAlign w:val="bottom"/>
          </w:tcPr>
          <w:p>
            <w:pPr>
              <w:spacing w:after="0"/>
              <w:rPr>
                <w:sz w:val="24"/>
                <w:szCs w:val="24"/>
                <w:color w:val="auto"/>
              </w:rPr>
            </w:pPr>
          </w:p>
        </w:tc>
        <w:tc>
          <w:tcPr>
            <w:tcW w:w="2140" w:type="dxa"/>
            <w:vAlign w:val="bottom"/>
          </w:tcPr>
          <w:p>
            <w:pPr>
              <w:jc w:val="right"/>
              <w:ind w:right="50"/>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90" w:name="page91"/>
    <w:bookmarkEnd w:id="90"/>
    <w:p>
      <w:pPr>
        <w:ind w:left="9700"/>
        <w:spacing w:after="0"/>
        <w:rPr>
          <w:sz w:val="20"/>
          <w:szCs w:val="20"/>
          <w:color w:val="auto"/>
        </w:rPr>
      </w:pPr>
      <w:r>
        <w:rPr>
          <w:rFonts w:ascii="Arial" w:cs="Arial" w:eastAsia="Arial" w:hAnsi="Arial"/>
          <w:sz w:val="16"/>
          <w:szCs w:val="16"/>
          <w:b w:val="1"/>
          <w:bCs w:val="1"/>
          <w:color w:val="auto"/>
        </w:rPr>
        <w:t>Execution Version</w:t>
      </w:r>
    </w:p>
    <w:p>
      <w:pPr>
        <w:spacing w:after="0" w:line="279" w:lineRule="exact"/>
        <w:rPr>
          <w:sz w:val="20"/>
          <w:szCs w:val="20"/>
          <w:color w:val="auto"/>
        </w:rPr>
      </w:pPr>
    </w:p>
    <w:p>
      <w:pPr>
        <w:ind w:firstLine="8"/>
        <w:spacing w:after="0" w:line="282" w:lineRule="auto"/>
        <w:tabs>
          <w:tab w:leader="none" w:pos="25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EXCLUSIVE LICENSE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 and between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FIBROGEN,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ELUMINEX BIOSCIENCES (SUZHOU) LIMITED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July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20"/>
          <w:szCs w:val="20"/>
          <w:b w:val="1"/>
          <w:bCs w:val="1"/>
          <w:color w:val="auto"/>
        </w:rPr>
        <w:t>EXCLUSIVE LICENSE AGREEMENT</w:t>
      </w:r>
    </w:p>
    <w:p>
      <w:pPr>
        <w:spacing w:after="0" w:line="21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EXCLUSIVE LICENSE AGREEMENT</w:t>
      </w:r>
      <w:r>
        <w:rPr>
          <w:rFonts w:ascii="Arial" w:cs="Arial" w:eastAsia="Arial" w:hAnsi="Arial"/>
          <w:sz w:val="19"/>
          <w:szCs w:val="19"/>
          <w:color w:val="auto"/>
        </w:rPr>
        <w:t xml:space="preserve"> (this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as of July 16, 2021 (the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FIBROGEN</w:t>
      </w:r>
      <w:r>
        <w:rPr>
          <w:rFonts w:ascii="Arial" w:cs="Arial" w:eastAsia="Arial" w:hAnsi="Arial"/>
          <w:sz w:val="19"/>
          <w:szCs w:val="19"/>
          <w:color w:val="auto"/>
        </w:rPr>
        <w:t xml:space="preserve">, </w:t>
      </w:r>
      <w:r>
        <w:rPr>
          <w:rFonts w:ascii="Arial" w:cs="Arial" w:eastAsia="Arial" w:hAnsi="Arial"/>
          <w:sz w:val="19"/>
          <w:szCs w:val="19"/>
          <w:b w:val="1"/>
          <w:bCs w:val="1"/>
          <w:color w:val="auto"/>
        </w:rPr>
        <w:t>INC</w:t>
      </w:r>
      <w:r>
        <w:rPr>
          <w:rFonts w:ascii="Arial" w:cs="Arial" w:eastAsia="Arial" w:hAnsi="Arial"/>
          <w:sz w:val="19"/>
          <w:szCs w:val="19"/>
          <w:color w:val="auto"/>
        </w:rPr>
        <w:t>., a company organized under the laws of Delaware with a business address at 409 Illinois Street, San Francisco, CA 94158, United States and its Affiliates (collectively, “</w:t>
      </w:r>
      <w:r>
        <w:rPr>
          <w:rFonts w:ascii="Arial" w:cs="Arial" w:eastAsia="Arial" w:hAnsi="Arial"/>
          <w:sz w:val="19"/>
          <w:szCs w:val="19"/>
          <w:b w:val="1"/>
          <w:bCs w:val="1"/>
          <w:color w:val="auto"/>
        </w:rPr>
        <w:t>FIBROGEN</w:t>
      </w:r>
      <w:r>
        <w:rPr>
          <w:rFonts w:ascii="Arial" w:cs="Arial" w:eastAsia="Arial" w:hAnsi="Arial"/>
          <w:sz w:val="19"/>
          <w:szCs w:val="19"/>
          <w:color w:val="auto"/>
        </w:rPr>
        <w:t xml:space="preserve">”), and </w:t>
      </w:r>
      <w:r>
        <w:rPr>
          <w:rFonts w:ascii="Arial" w:cs="Arial" w:eastAsia="Arial" w:hAnsi="Arial"/>
          <w:sz w:val="19"/>
          <w:szCs w:val="19"/>
          <w:b w:val="1"/>
          <w:bCs w:val="1"/>
          <w:color w:val="auto"/>
        </w:rPr>
        <w:t>ELUMINEX BIOSCIENCES (SUZHOU)</w:t>
      </w:r>
      <w:r>
        <w:rPr>
          <w:rFonts w:ascii="Arial" w:cs="Arial" w:eastAsia="Arial" w:hAnsi="Arial"/>
          <w:sz w:val="19"/>
          <w:szCs w:val="19"/>
          <w:color w:val="auto"/>
        </w:rPr>
        <w:t xml:space="preserve"> </w:t>
      </w:r>
      <w:r>
        <w:rPr>
          <w:rFonts w:ascii="Arial" w:cs="Arial" w:eastAsia="Arial" w:hAnsi="Arial"/>
          <w:sz w:val="19"/>
          <w:szCs w:val="19"/>
          <w:b w:val="1"/>
          <w:bCs w:val="1"/>
          <w:color w:val="auto"/>
        </w:rPr>
        <w:t>LIMITED</w:t>
      </w:r>
      <w:r>
        <w:rPr>
          <w:rFonts w:ascii="Arial" w:cs="Arial" w:eastAsia="Arial" w:hAnsi="Arial"/>
          <w:sz w:val="19"/>
          <w:szCs w:val="19"/>
          <w:color w:val="auto"/>
        </w:rPr>
        <w:t>, a company organized under the laws of People’s Republic of China with registered address at Unit E421, Building 5, 218</w:t>
      </w:r>
      <w:r>
        <w:rPr>
          <w:rFonts w:ascii="Arial" w:cs="Arial" w:eastAsia="Arial" w:hAnsi="Arial"/>
          <w:sz w:val="19"/>
          <w:szCs w:val="19"/>
          <w:b w:val="1"/>
          <w:bCs w:val="1"/>
          <w:color w:val="auto"/>
        </w:rPr>
        <w:t xml:space="preserve"> </w:t>
      </w:r>
      <w:r>
        <w:rPr>
          <w:rFonts w:ascii="Arial" w:cs="Arial" w:eastAsia="Arial" w:hAnsi="Arial"/>
          <w:sz w:val="19"/>
          <w:szCs w:val="19"/>
          <w:color w:val="auto"/>
        </w:rPr>
        <w:t>Sangtian Street, Suzhou Industrial Park, Suzhou, Jiangsu, 215000, People’s Republic of China, (“</w:t>
      </w:r>
      <w:r>
        <w:rPr>
          <w:rFonts w:ascii="Arial" w:cs="Arial" w:eastAsia="Arial" w:hAnsi="Arial"/>
          <w:sz w:val="19"/>
          <w:szCs w:val="19"/>
          <w:b w:val="1"/>
          <w:bCs w:val="1"/>
          <w:color w:val="auto"/>
        </w:rPr>
        <w:t>ELUMINEX</w:t>
      </w:r>
      <w:r>
        <w:rPr>
          <w:rFonts w:ascii="Arial" w:cs="Arial" w:eastAsia="Arial" w:hAnsi="Arial"/>
          <w:sz w:val="19"/>
          <w:szCs w:val="19"/>
          <w:color w:val="auto"/>
        </w:rPr>
        <w:t>”). ELUMINEX and FIBROGEN are sometimes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FIBROGEN owns or controls certain rights to patents, know-how, and other intellectual property and assets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the Products (as hereinafter defined);</w:t>
      </w:r>
    </w:p>
    <w:p>
      <w:pPr>
        <w:spacing w:after="0" w:line="163"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ELUMINEX and its Affiliates desire to license these intellectual property rights from FIBROGEN,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develop, manufacture, use and distribute the Product(s) throughout the Territory (as hereinafter defined), and FIBROGEN desires to grant such license to ELUMINEX and its Affiliates, in accordance with the terms and conditions of this Agreement.</w:t>
      </w:r>
    </w:p>
    <w:p>
      <w:pPr>
        <w:spacing w:after="0" w:line="144"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promises and covenants contained in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good and valuable consideration, the receipt and sufficiency of which are hereby acknowledged, the Parties agree as follows: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DEFINITIONS</w:t>
      </w:r>
    </w:p>
    <w:p>
      <w:pPr>
        <w:spacing w:after="0" w:line="20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All references to particular Exhibits, Articles or Sections shall mean the Exhibits to, and Articles and Sections of this Agreement, unless otherwise specified. For the purposes of this Agreement and the Exhibits hereto, the following words and phrases shall have the following meanings:</w:t>
      </w:r>
    </w:p>
    <w:p>
      <w:pPr>
        <w:spacing w:after="0" w:line="18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Abandoned Patent Right</w:t>
      </w:r>
      <w:r>
        <w:rPr>
          <w:rFonts w:ascii="Arial" w:cs="Arial" w:eastAsia="Arial" w:hAnsi="Arial"/>
          <w:sz w:val="18"/>
          <w:szCs w:val="18"/>
          <w:color w:val="auto"/>
        </w:rPr>
        <w:t>” has the meaning set forth in Section 4.3.</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1.2 “</w:t>
      </w:r>
      <w:r>
        <w:rPr>
          <w:rFonts w:ascii="Arial" w:cs="Arial" w:eastAsia="Arial" w:hAnsi="Arial"/>
          <w:sz w:val="20"/>
          <w:szCs w:val="20"/>
          <w:b w:val="1"/>
          <w:bCs w:val="1"/>
          <w:color w:val="auto"/>
        </w:rPr>
        <w:t>Accounting Standards</w:t>
      </w:r>
      <w:r>
        <w:rPr>
          <w:rFonts w:ascii="Arial" w:cs="Arial" w:eastAsia="Arial" w:hAnsi="Arial"/>
          <w:sz w:val="20"/>
          <w:szCs w:val="20"/>
          <w:color w:val="auto"/>
        </w:rPr>
        <w:t xml:space="preserve">” means U.S. Generally Accepted Accounting Principles (GAAP) with respect to FIBROGEN and ELUMINEX, and GAAP or International Financial Reports Standards (IFRS), as applicable, with respect to any Sublicensee, in each case, as generally and consistently applied through the Sublicensee’s organization. Each Party shall promptly notify the other in the event that it changes the Accounting Standards pursuant to which its records are maintained;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each Party may only use internationally recognized accounting principles (</w:t>
      </w:r>
      <w:r>
        <w:rPr>
          <w:rFonts w:ascii="Arial" w:cs="Arial" w:eastAsia="Arial" w:hAnsi="Arial"/>
          <w:sz w:val="20"/>
          <w:szCs w:val="20"/>
          <w:i w:val="1"/>
          <w:iCs w:val="1"/>
          <w:color w:val="auto"/>
        </w:rPr>
        <w:t>e.g.</w:t>
      </w:r>
      <w:r>
        <w:rPr>
          <w:rFonts w:ascii="Arial" w:cs="Arial" w:eastAsia="Arial" w:hAnsi="Arial"/>
          <w:sz w:val="20"/>
          <w:szCs w:val="20"/>
          <w:color w:val="auto"/>
        </w:rPr>
        <w:t xml:space="preserve"> IFRS, GAAP, etc.).</w:t>
      </w:r>
    </w:p>
    <w:p>
      <w:pPr>
        <w:spacing w:after="0" w:line="18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1.3 “</w:t>
      </w:r>
      <w:r>
        <w:rPr>
          <w:rFonts w:ascii="Arial" w:cs="Arial" w:eastAsia="Arial" w:hAnsi="Arial"/>
          <w:sz w:val="20"/>
          <w:szCs w:val="20"/>
          <w:b w:val="1"/>
          <w:bCs w:val="1"/>
          <w:color w:val="auto"/>
        </w:rPr>
        <w:t>Active Ingredient</w:t>
      </w:r>
      <w:r>
        <w:rPr>
          <w:rFonts w:ascii="Arial" w:cs="Arial" w:eastAsia="Arial" w:hAnsi="Arial"/>
          <w:sz w:val="20"/>
          <w:szCs w:val="20"/>
          <w:color w:val="auto"/>
        </w:rPr>
        <w:t>” means the clinically active material(s) that provide pharmacological activity in a pharmaceutical product (excluding, for the avoidance of doubt, formulation components such as coatings, stabilizers, excipients or solvents, adjuvants or controlled release technologies).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8" w:lineRule="exact"/>
        <w:rPr>
          <w:sz w:val="20"/>
          <w:szCs w:val="20"/>
          <w:color w:val="auto"/>
        </w:rPr>
      </w:pPr>
    </w:p>
    <w:p>
      <w:pPr>
        <w:ind w:right="20" w:firstLine="8"/>
        <w:spacing w:after="0" w:line="258" w:lineRule="auto"/>
        <w:tabs>
          <w:tab w:leader="none" w:pos="2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both"/>
        <w:ind w:firstLine="864"/>
        <w:spacing w:after="0" w:line="244" w:lineRule="auto"/>
        <w:rPr>
          <w:sz w:val="20"/>
          <w:szCs w:val="20"/>
          <w:color w:val="auto"/>
        </w:rPr>
      </w:pPr>
      <w:r>
        <w:rPr>
          <w:rFonts w:ascii="Arial" w:cs="Arial" w:eastAsia="Arial" w:hAnsi="Arial"/>
          <w:sz w:val="20"/>
          <w:szCs w:val="20"/>
          <w:color w:val="auto"/>
        </w:rPr>
        <w:t>1.4 “</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any Person, any other Person that, directly or indirectly through one or more intermediaries, controls, is controlled by or is under common control with such Person, for as long as such control exists. For purposes of the definition of “Affiliate,” “control” means the direct or indirect ownership of more than fifty percent (50%) of the voting or economic interest of a Person, or the power, whether pursuant to contract, ownership of securities or otherwise, to direct the management and policies of a Person. For clarity, once a Person ceases to be an Affiliate of a Party, then, without any further action, such Person shall cease to have any rights, including license and sublicense rights, obtained by such Person directly under this Agreement solely by reason of being an Affiliate of such Party.</w:t>
      </w:r>
    </w:p>
    <w:p>
      <w:pPr>
        <w:spacing w:after="0" w:line="18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has the meaning set forth in the Preamble.</w:t>
      </w:r>
    </w:p>
    <w:p>
      <w:pPr>
        <w:spacing w:after="0" w:line="21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Annual Report</w:t>
      </w:r>
      <w:r>
        <w:rPr>
          <w:rFonts w:ascii="Arial" w:cs="Arial" w:eastAsia="Arial" w:hAnsi="Arial"/>
          <w:sz w:val="18"/>
          <w:szCs w:val="18"/>
          <w:color w:val="auto"/>
        </w:rPr>
        <w:t>” has the meaning set forth in Section 6.2.</w:t>
      </w:r>
    </w:p>
    <w:p>
      <w:pPr>
        <w:spacing w:after="0" w:line="21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1.7 “</w:t>
      </w:r>
      <w:r>
        <w:rPr>
          <w:rFonts w:ascii="Arial" w:cs="Arial" w:eastAsia="Arial" w:hAnsi="Arial"/>
          <w:sz w:val="20"/>
          <w:szCs w:val="20"/>
          <w:b w:val="1"/>
          <w:bCs w:val="1"/>
          <w:color w:val="auto"/>
        </w:rPr>
        <w:t>Anti-Corruption Laws</w:t>
      </w:r>
      <w:r>
        <w:rPr>
          <w:rFonts w:ascii="Arial" w:cs="Arial" w:eastAsia="Arial" w:hAnsi="Arial"/>
          <w:sz w:val="20"/>
          <w:szCs w:val="20"/>
          <w:color w:val="auto"/>
        </w:rPr>
        <w:t>” means Laws, regulations, or orders prohibiting the provision of a financial or other advantage for a corrupt purpose or otherwise in connection with the improper performance of a relevant function, including without limitation, the U.S. Foreign Corrupt Practices Act and similar laws governing corruption and bribery, whether public, commercial or both, to the extent applicable.</w:t>
      </w:r>
    </w:p>
    <w:p>
      <w:pPr>
        <w:spacing w:after="0" w:line="183"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560" w:type="dxa"/>
            <w:vAlign w:val="bottom"/>
          </w:tcPr>
          <w:p>
            <w:pPr>
              <w:jc w:val="right"/>
              <w:ind w:right="221"/>
              <w:spacing w:after="0"/>
              <w:rPr>
                <w:sz w:val="20"/>
                <w:szCs w:val="20"/>
                <w:color w:val="auto"/>
              </w:rPr>
            </w:pPr>
            <w:r>
              <w:rPr>
                <w:rFonts w:ascii="Arial" w:cs="Arial" w:eastAsia="Arial" w:hAnsi="Arial"/>
                <w:sz w:val="20"/>
                <w:szCs w:val="20"/>
                <w:color w:val="auto"/>
                <w:w w:val="78"/>
              </w:rPr>
              <w:t>1.8</w:t>
            </w:r>
          </w:p>
        </w:tc>
        <w:tc>
          <w:tcPr>
            <w:tcW w:w="5240" w:type="dxa"/>
            <w:vAlign w:val="bottom"/>
          </w:tcPr>
          <w:p>
            <w:pPr>
              <w:ind w:left="32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color w:val="auto"/>
                <w:w w:val="90"/>
              </w:rPr>
              <w:t>Arbitration Date</w:t>
            </w:r>
            <w:r>
              <w:rPr>
                <w:rFonts w:ascii="Arial" w:cs="Arial" w:eastAsia="Arial" w:hAnsi="Arial"/>
                <w:sz w:val="20"/>
                <w:szCs w:val="20"/>
                <w:color w:val="auto"/>
                <w:w w:val="90"/>
              </w:rPr>
              <w:t>” has the meaning set forth in Section 11.4.</w:t>
            </w:r>
          </w:p>
        </w:tc>
      </w:tr>
      <w:tr>
        <w:trPr>
          <w:trHeight w:val="446"/>
        </w:trPr>
        <w:tc>
          <w:tcPr>
            <w:tcW w:w="560" w:type="dxa"/>
            <w:vAlign w:val="bottom"/>
          </w:tcPr>
          <w:p>
            <w:pPr>
              <w:jc w:val="right"/>
              <w:ind w:right="221"/>
              <w:spacing w:after="0"/>
              <w:rPr>
                <w:sz w:val="20"/>
                <w:szCs w:val="20"/>
                <w:color w:val="auto"/>
              </w:rPr>
            </w:pPr>
            <w:r>
              <w:rPr>
                <w:rFonts w:ascii="Arial" w:cs="Arial" w:eastAsia="Arial" w:hAnsi="Arial"/>
                <w:sz w:val="20"/>
                <w:szCs w:val="20"/>
                <w:color w:val="auto"/>
                <w:w w:val="78"/>
              </w:rPr>
              <w:t>1.9</w:t>
            </w:r>
          </w:p>
        </w:tc>
        <w:tc>
          <w:tcPr>
            <w:tcW w:w="5240" w:type="dxa"/>
            <w:vAlign w:val="bottom"/>
          </w:tcPr>
          <w:p>
            <w:pPr>
              <w:ind w:left="320"/>
              <w:spacing w:after="0"/>
              <w:rPr>
                <w:sz w:val="20"/>
                <w:szCs w:val="20"/>
                <w:color w:val="auto"/>
              </w:rPr>
            </w:pPr>
            <w:r>
              <w:rPr>
                <w:rFonts w:ascii="Arial" w:cs="Arial" w:eastAsia="Arial" w:hAnsi="Arial"/>
                <w:sz w:val="20"/>
                <w:szCs w:val="20"/>
                <w:color w:val="auto"/>
                <w:w w:val="96"/>
              </w:rPr>
              <w:t>“</w:t>
            </w:r>
            <w:r>
              <w:rPr>
                <w:rFonts w:ascii="Arial" w:cs="Arial" w:eastAsia="Arial" w:hAnsi="Arial"/>
                <w:sz w:val="20"/>
                <w:szCs w:val="20"/>
                <w:b w:val="1"/>
                <w:bCs w:val="1"/>
                <w:color w:val="auto"/>
                <w:w w:val="96"/>
              </w:rPr>
              <w:t>Audited Party</w:t>
            </w:r>
            <w:r>
              <w:rPr>
                <w:rFonts w:ascii="Arial" w:cs="Arial" w:eastAsia="Arial" w:hAnsi="Arial"/>
                <w:sz w:val="20"/>
                <w:szCs w:val="20"/>
                <w:color w:val="auto"/>
                <w:w w:val="96"/>
              </w:rPr>
              <w:t>” has the meaning set forth in Section 3.7.</w:t>
            </w:r>
          </w:p>
        </w:tc>
      </w:tr>
    </w:tbl>
    <w:p>
      <w:pPr>
        <w:spacing w:after="0" w:line="18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the respective periods of three consecutive calendar months ending on March 31, June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30, September 30 and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40" w:type="dxa"/>
            <w:vAlign w:val="bottom"/>
          </w:tcPr>
          <w:p>
            <w:pPr>
              <w:ind w:left="880"/>
              <w:spacing w:after="0"/>
              <w:rPr>
                <w:sz w:val="20"/>
                <w:szCs w:val="20"/>
                <w:color w:val="auto"/>
              </w:rPr>
            </w:pPr>
            <w:r>
              <w:rPr>
                <w:rFonts w:ascii="Arial" w:cs="Arial" w:eastAsia="Arial" w:hAnsi="Arial"/>
                <w:sz w:val="20"/>
                <w:szCs w:val="20"/>
                <w:color w:val="auto"/>
              </w:rPr>
              <w:t>1.11</w:t>
            </w:r>
          </w:p>
        </w:tc>
        <w:tc>
          <w:tcPr>
            <w:tcW w:w="9680" w:type="dxa"/>
            <w:vAlign w:val="bottom"/>
          </w:tcPr>
          <w:p>
            <w:pPr>
              <w:ind w:left="320"/>
              <w:spacing w:after="0"/>
              <w:rPr>
                <w:sz w:val="20"/>
                <w:szCs w:val="20"/>
                <w:color w:val="auto"/>
              </w:rPr>
            </w:pPr>
            <w:r>
              <w:rPr>
                <w:rFonts w:ascii="Arial" w:cs="Arial" w:eastAsia="Arial" w:hAnsi="Arial"/>
                <w:sz w:val="20"/>
                <w:szCs w:val="20"/>
                <w:color w:val="auto"/>
                <w:w w:val="93"/>
              </w:rPr>
              <w:t>“</w:t>
            </w:r>
            <w:r>
              <w:rPr>
                <w:rFonts w:ascii="Arial" w:cs="Arial" w:eastAsia="Arial" w:hAnsi="Arial"/>
                <w:sz w:val="20"/>
                <w:szCs w:val="20"/>
                <w:b w:val="1"/>
                <w:bCs w:val="1"/>
                <w:color w:val="auto"/>
                <w:w w:val="93"/>
              </w:rPr>
              <w:t>Calendar Year</w:t>
            </w:r>
            <w:r>
              <w:rPr>
                <w:rFonts w:ascii="Arial" w:cs="Arial" w:eastAsia="Arial" w:hAnsi="Arial"/>
                <w:sz w:val="20"/>
                <w:szCs w:val="20"/>
                <w:color w:val="auto"/>
                <w:w w:val="93"/>
              </w:rPr>
              <w:t>” means each successive period of twelve (12) months commencing on January 1 and ending on</w:t>
            </w:r>
          </w:p>
        </w:tc>
      </w:tr>
      <w:tr>
        <w:trPr>
          <w:trHeight w:val="250"/>
        </w:trPr>
        <w:tc>
          <w:tcPr>
            <w:tcW w:w="1540" w:type="dxa"/>
            <w:vAlign w:val="bottom"/>
          </w:tcPr>
          <w:p>
            <w:pPr>
              <w:spacing w:after="0"/>
              <w:rPr>
                <w:sz w:val="20"/>
                <w:szCs w:val="20"/>
                <w:color w:val="auto"/>
              </w:rPr>
            </w:pPr>
            <w:r>
              <w:rPr>
                <w:rFonts w:ascii="Arial" w:cs="Arial" w:eastAsia="Arial" w:hAnsi="Arial"/>
                <w:sz w:val="20"/>
                <w:szCs w:val="20"/>
                <w:color w:val="auto"/>
              </w:rPr>
              <w:t>December 31.</w:t>
            </w:r>
          </w:p>
        </w:tc>
        <w:tc>
          <w:tcPr>
            <w:tcW w:w="9680" w:type="dxa"/>
            <w:vAlign w:val="bottom"/>
          </w:tcPr>
          <w:p>
            <w:pPr>
              <w:spacing w:after="0"/>
              <w:rPr>
                <w:sz w:val="21"/>
                <w:szCs w:val="21"/>
                <w:color w:val="auto"/>
              </w:rPr>
            </w:pPr>
          </w:p>
        </w:tc>
      </w:tr>
      <w:tr>
        <w:trPr>
          <w:trHeight w:val="445"/>
        </w:trPr>
        <w:tc>
          <w:tcPr>
            <w:tcW w:w="1540" w:type="dxa"/>
            <w:vAlign w:val="bottom"/>
          </w:tcPr>
          <w:p>
            <w:pPr>
              <w:ind w:left="880"/>
              <w:spacing w:after="0"/>
              <w:rPr>
                <w:sz w:val="20"/>
                <w:szCs w:val="20"/>
                <w:color w:val="auto"/>
              </w:rPr>
            </w:pPr>
            <w:r>
              <w:rPr>
                <w:rFonts w:ascii="Arial" w:cs="Arial" w:eastAsia="Arial" w:hAnsi="Arial"/>
                <w:sz w:val="20"/>
                <w:szCs w:val="20"/>
                <w:color w:val="auto"/>
              </w:rPr>
              <w:t>1.12</w:t>
            </w:r>
          </w:p>
        </w:tc>
        <w:tc>
          <w:tcPr>
            <w:tcW w:w="968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CEO Delegate</w:t>
            </w:r>
            <w:r>
              <w:rPr>
                <w:rFonts w:ascii="Arial" w:cs="Arial" w:eastAsia="Arial" w:hAnsi="Arial"/>
                <w:sz w:val="20"/>
                <w:szCs w:val="20"/>
                <w:color w:val="auto"/>
              </w:rPr>
              <w:t>” means the Chief Executive Officer of each Party or their respective delegate.</w:t>
            </w:r>
          </w:p>
        </w:tc>
      </w:tr>
      <w:tr>
        <w:trPr>
          <w:trHeight w:val="0"/>
        </w:trPr>
        <w:tc>
          <w:tcPr>
            <w:tcW w:w="1540" w:type="dxa"/>
            <w:vAlign w:val="bottom"/>
          </w:tcPr>
          <w:p>
            <w:pPr>
              <w:ind w:left="880"/>
              <w:spacing w:after="0"/>
              <w:rPr>
                <w:sz w:val="20"/>
                <w:szCs w:val="20"/>
                <w:color w:val="auto"/>
              </w:rPr>
            </w:pPr>
            <w:r>
              <w:rPr>
                <w:rFonts w:ascii="Arial" w:cs="Arial" w:eastAsia="Arial" w:hAnsi="Arial"/>
                <w:sz w:val="20"/>
                <w:szCs w:val="20"/>
                <w:color w:val="auto"/>
              </w:rPr>
              <w:t>1.13</w:t>
            </w:r>
          </w:p>
        </w:tc>
        <w:tc>
          <w:tcPr>
            <w:tcW w:w="9680" w:type="dxa"/>
            <w:vAlign w:val="bottom"/>
          </w:tcPr>
          <w:p>
            <w:pPr>
              <w:ind w:left="320"/>
              <w:spacing w:after="0"/>
              <w:rPr>
                <w:sz w:val="20"/>
                <w:szCs w:val="20"/>
                <w:color w:val="auto"/>
              </w:rPr>
            </w:pPr>
            <w:r>
              <w:rPr>
                <w:rFonts w:ascii="Arial" w:cs="Arial" w:eastAsia="Arial" w:hAnsi="Arial"/>
                <w:sz w:val="20"/>
                <w:szCs w:val="20"/>
                <w:color w:val="auto"/>
                <w:w w:val="95"/>
              </w:rPr>
              <w:t>“</w:t>
            </w:r>
            <w:r>
              <w:rPr>
                <w:rFonts w:ascii="Arial" w:cs="Arial" w:eastAsia="Arial" w:hAnsi="Arial"/>
                <w:sz w:val="20"/>
                <w:szCs w:val="20"/>
                <w:b w:val="1"/>
                <w:bCs w:val="1"/>
                <w:color w:val="auto"/>
                <w:w w:val="95"/>
              </w:rPr>
              <w:t>cGMP</w:t>
            </w:r>
            <w:r>
              <w:rPr>
                <w:rFonts w:ascii="Arial" w:cs="Arial" w:eastAsia="Arial" w:hAnsi="Arial"/>
                <w:sz w:val="20"/>
                <w:szCs w:val="20"/>
                <w:color w:val="auto"/>
                <w:w w:val="95"/>
              </w:rPr>
              <w:t>” means all applicable current Good Manufacturing Practices, including, as applicable, (a) the principles</w:t>
            </w:r>
          </w:p>
        </w:tc>
      </w:tr>
    </w:tbl>
    <w:p>
      <w:pPr>
        <w:spacing w:after="0" w:line="200" w:lineRule="exact"/>
        <w:rPr>
          <w:sz w:val="20"/>
          <w:szCs w:val="20"/>
          <w:color w:val="auto"/>
        </w:rPr>
      </w:pP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detailed in the U.S. Current Good Manufacturing Practices, 21 C.F.R. Parts 4, 210, 211, 601, 610 and 820, (b) European Directive 2003/94/EC and Eudralex 4, (c) the principles detailed in the International Conference on Harmonization’s Q7 guidelines, and (d) the equivalent applicable Laws in any relevant country or region, each as may be amended and applicable from time to time.</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any human clinical trial of a Product.</w:t>
      </w:r>
    </w:p>
    <w:p>
      <w:pPr>
        <w:spacing w:after="0" w:line="216"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color w:val="auto"/>
        </w:rPr>
        <w:t>1.15 “</w:t>
      </w:r>
      <w:r>
        <w:rPr>
          <w:rFonts w:ascii="Arial" w:cs="Arial" w:eastAsia="Arial" w:hAnsi="Arial"/>
          <w:sz w:val="20"/>
          <w:szCs w:val="20"/>
          <w:b w:val="1"/>
          <w:bCs w:val="1"/>
          <w:color w:val="auto"/>
        </w:rPr>
        <w:t>China</w:t>
      </w:r>
      <w:r>
        <w:rPr>
          <w:rFonts w:ascii="Arial" w:cs="Arial" w:eastAsia="Arial" w:hAnsi="Arial"/>
          <w:sz w:val="20"/>
          <w:szCs w:val="20"/>
          <w:color w:val="auto"/>
        </w:rPr>
        <w:t>” means People’s Republic of China, for purposes of this Agreement, excluding Hong Kong, Macao, and Taiwan, which, for purposes of this Agreement, shall each be deemed a “region.”</w:t>
      </w:r>
    </w:p>
    <w:p>
      <w:pPr>
        <w:spacing w:after="0" w:line="163"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b w:val="1"/>
          <w:bCs w:val="1"/>
          <w:color w:val="auto"/>
        </w:rPr>
        <w:t>China CPI</w:t>
      </w:r>
      <w:r>
        <w:rPr>
          <w:rFonts w:ascii="Arial" w:cs="Arial" w:eastAsia="Arial" w:hAnsi="Arial"/>
          <w:sz w:val="20"/>
          <w:szCs w:val="20"/>
          <w:color w:val="auto"/>
        </w:rPr>
        <w:t>” means, the consumer price index as published by the National Bureau of Statistics of People’s Republic of China, or any replacement index if applicable.</w:t>
      </w:r>
    </w:p>
    <w:p>
      <w:pPr>
        <w:spacing w:after="0" w:line="163" w:lineRule="exact"/>
        <w:rPr>
          <w:sz w:val="20"/>
          <w:szCs w:val="20"/>
          <w:color w:val="auto"/>
        </w:rPr>
      </w:pPr>
    </w:p>
    <w:p>
      <w:pPr>
        <w:ind w:right="20" w:firstLine="864"/>
        <w:spacing w:after="0" w:line="267" w:lineRule="auto"/>
        <w:rPr>
          <w:sz w:val="20"/>
          <w:szCs w:val="20"/>
          <w:color w:val="auto"/>
        </w:rPr>
      </w:pPr>
      <w:r>
        <w:rPr>
          <w:rFonts w:ascii="Arial" w:cs="Arial" w:eastAsia="Arial" w:hAnsi="Arial"/>
          <w:sz w:val="20"/>
          <w:szCs w:val="20"/>
          <w:color w:val="auto"/>
        </w:rPr>
        <w:t>1.17 “</w:t>
      </w:r>
      <w:r>
        <w:rPr>
          <w:rFonts w:ascii="Arial" w:cs="Arial" w:eastAsia="Arial" w:hAnsi="Arial"/>
          <w:sz w:val="20"/>
          <w:szCs w:val="20"/>
          <w:b w:val="1"/>
          <w:bCs w:val="1"/>
          <w:color w:val="auto"/>
        </w:rPr>
        <w:t>Combination Product</w:t>
      </w:r>
      <w:r>
        <w:rPr>
          <w:rFonts w:ascii="Arial" w:cs="Arial" w:eastAsia="Arial" w:hAnsi="Arial"/>
          <w:sz w:val="20"/>
          <w:szCs w:val="20"/>
          <w:color w:val="auto"/>
        </w:rPr>
        <w:t>” means a Product that, in addition to containing [*] as an active ingredient or component, also contains at least one other Active Ingredient that is not [*] (the “</w:t>
      </w:r>
      <w:r>
        <w:rPr>
          <w:rFonts w:ascii="Arial" w:cs="Arial" w:eastAsia="Arial" w:hAnsi="Arial"/>
          <w:sz w:val="20"/>
          <w:szCs w:val="20"/>
          <w:b w:val="1"/>
          <w:bCs w:val="1"/>
          <w:color w:val="auto"/>
        </w:rPr>
        <w:t>Other Component</w:t>
      </w:r>
      <w:r>
        <w:rPr>
          <w:rFonts w:ascii="Arial" w:cs="Arial" w:eastAsia="Arial" w:hAnsi="Arial"/>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8" w:lineRule="exact"/>
        <w:rPr>
          <w:sz w:val="20"/>
          <w:szCs w:val="20"/>
          <w:color w:val="auto"/>
        </w:rPr>
      </w:pPr>
    </w:p>
    <w:p>
      <w:pPr>
        <w:ind w:right="20" w:firstLine="8"/>
        <w:spacing w:after="0" w:line="258" w:lineRule="auto"/>
        <w:tabs>
          <w:tab w:leader="none" w:pos="2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ind w:firstLine="864"/>
        <w:spacing w:after="0" w:line="235" w:lineRule="auto"/>
        <w:framePr w:w="1300" w:h="406" w:wrap="auto" w:vAnchor="page" w:hAnchor="page" w:x="280" w:y="3946"/>
        <w:rPr>
          <w:rFonts w:ascii="Arial" w:cs="Arial" w:eastAsia="Arial" w:hAnsi="Arial"/>
          <w:sz w:val="18"/>
          <w:szCs w:val="18"/>
          <w:color w:val="auto"/>
        </w:rPr>
      </w:pPr>
      <w:r>
        <w:rPr>
          <w:rFonts w:ascii="Arial" w:cs="Arial" w:eastAsia="Arial" w:hAnsi="Arial"/>
          <w:sz w:val="18"/>
          <w:szCs w:val="18"/>
          <w:color w:val="auto"/>
        </w:rPr>
        <w:t>1.23 Effective Date.</w:t>
      </w:r>
    </w:p>
    <w:p>
      <w:pPr>
        <w:jc w:val="both"/>
        <w:ind w:firstLine="864"/>
        <w:spacing w:after="0" w:line="245" w:lineRule="auto"/>
        <w:rPr>
          <w:sz w:val="20"/>
          <w:szCs w:val="20"/>
          <w:color w:val="auto"/>
        </w:rPr>
      </w:pPr>
      <w:r>
        <w:rPr>
          <w:rFonts w:ascii="Arial" w:cs="Arial" w:eastAsia="Arial" w:hAnsi="Arial"/>
          <w:sz w:val="20"/>
          <w:szCs w:val="20"/>
          <w:color w:val="auto"/>
        </w:rPr>
        <w:t>1.18 “</w:t>
      </w:r>
      <w:r>
        <w:rPr>
          <w:rFonts w:ascii="Arial" w:cs="Arial" w:eastAsia="Arial" w:hAnsi="Arial"/>
          <w:sz w:val="20"/>
          <w:szCs w:val="20"/>
          <w:b w:val="1"/>
          <w:bCs w:val="1"/>
          <w:color w:val="auto"/>
        </w:rPr>
        <w:t>Commercially Reasonable Efforts</w:t>
      </w:r>
      <w:r>
        <w:rPr>
          <w:rFonts w:ascii="Arial" w:cs="Arial" w:eastAsia="Arial" w:hAnsi="Arial"/>
          <w:sz w:val="20"/>
          <w:szCs w:val="20"/>
          <w:color w:val="auto"/>
        </w:rPr>
        <w:t>” means, with respect to a Party’s obligations or activities under this Agreement for a Product, the application of such efforts and resources as are commensurate with those commonly used by a similarly situated biotechnology company for a product at a similar stage in its development or product life cycle and of similar market potential and intellectual property protection as the Product, taking into account all relevant factors, including the competitiveness of the marketplace and the proprietary position, regulatory status, and relative safety and efficacy of such Product, and any other relevant scientific, technical, regulatory or commercial factors.</w:t>
      </w:r>
    </w:p>
    <w:p>
      <w:pPr>
        <w:spacing w:after="0" w:line="184" w:lineRule="exact"/>
        <w:rPr>
          <w:rFonts w:ascii="Arial" w:cs="Arial" w:eastAsia="Arial" w:hAnsi="Arial"/>
          <w:sz w:val="18"/>
          <w:szCs w:val="18"/>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Commercial Milestone Events</w:t>
      </w:r>
      <w:r>
        <w:rPr>
          <w:rFonts w:ascii="Arial" w:cs="Arial" w:eastAsia="Arial" w:hAnsi="Arial"/>
          <w:sz w:val="16"/>
          <w:szCs w:val="16"/>
          <w:color w:val="auto"/>
        </w:rPr>
        <w:t>” has the meaning set forth in Section 3.3.</w:t>
      </w:r>
    </w:p>
    <w:p>
      <w:pPr>
        <w:spacing w:after="0" w:line="216" w:lineRule="exact"/>
        <w:rPr>
          <w:rFonts w:ascii="Arial" w:cs="Arial" w:eastAsia="Arial" w:hAnsi="Arial"/>
          <w:sz w:val="18"/>
          <w:szCs w:val="18"/>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Commercial Milestone Payments</w:t>
      </w:r>
      <w:r>
        <w:rPr>
          <w:rFonts w:ascii="Arial" w:cs="Arial" w:eastAsia="Arial" w:hAnsi="Arial"/>
          <w:sz w:val="16"/>
          <w:szCs w:val="16"/>
          <w:color w:val="auto"/>
        </w:rPr>
        <w:t>” has the meaning set forth in Section 3.3.</w:t>
      </w:r>
    </w:p>
    <w:p>
      <w:pPr>
        <w:spacing w:after="0" w:line="216" w:lineRule="exact"/>
        <w:rPr>
          <w:rFonts w:ascii="Arial" w:cs="Arial" w:eastAsia="Arial" w:hAnsi="Arial"/>
          <w:sz w:val="18"/>
          <w:szCs w:val="18"/>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Competitive Product</w:t>
      </w:r>
      <w:r>
        <w:rPr>
          <w:rFonts w:ascii="Arial" w:cs="Arial" w:eastAsia="Arial" w:hAnsi="Arial"/>
          <w:sz w:val="18"/>
          <w:szCs w:val="18"/>
          <w:color w:val="auto"/>
        </w:rPr>
        <w:t>” means [*].</w:t>
      </w:r>
    </w:p>
    <w:p>
      <w:pPr>
        <w:spacing w:after="0" w:line="216" w:lineRule="exact"/>
        <w:rPr>
          <w:rFonts w:ascii="Arial" w:cs="Arial" w:eastAsia="Arial" w:hAnsi="Arial"/>
          <w:sz w:val="18"/>
          <w:szCs w:val="18"/>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10.1.1.</w:t>
      </w:r>
    </w:p>
    <w:p>
      <w:pPr>
        <w:spacing w:after="0" w:line="216" w:lineRule="exact"/>
        <w:rPr>
          <w:rFonts w:ascii="Arial" w:cs="Arial" w:eastAsia="Arial" w:hAnsi="Arial"/>
          <w:sz w:val="18"/>
          <w:szCs w:val="18"/>
          <w:color w:val="auto"/>
        </w:rPr>
      </w:pPr>
    </w:p>
    <w:p>
      <w:pPr>
        <w:ind w:left="1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Agreement</w:t>
      </w:r>
      <w:r>
        <w:rPr>
          <w:rFonts w:ascii="Arial" w:cs="Arial" w:eastAsia="Arial" w:hAnsi="Arial"/>
          <w:sz w:val="18"/>
          <w:szCs w:val="18"/>
          <w:color w:val="auto"/>
        </w:rPr>
        <w:t>” means the [*] agreement to be agreed and entered into by and between the Parties [*] after the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firstLine="864"/>
        <w:spacing w:after="0" w:line="243" w:lineRule="auto"/>
        <w:rPr>
          <w:sz w:val="20"/>
          <w:szCs w:val="20"/>
          <w:color w:val="auto"/>
        </w:rPr>
      </w:pPr>
      <w:r>
        <w:rPr>
          <w:rFonts w:ascii="Arial" w:cs="Arial" w:eastAsia="Arial" w:hAnsi="Arial"/>
          <w:sz w:val="20"/>
          <w:szCs w:val="20"/>
          <w:color w:val="auto"/>
        </w:rPr>
        <w:t>1.24 “</w:t>
      </w:r>
      <w:r>
        <w:rPr>
          <w:rFonts w:ascii="Arial" w:cs="Arial" w:eastAsia="Arial" w:hAnsi="Arial"/>
          <w:sz w:val="20"/>
          <w:szCs w:val="20"/>
          <w:b w:val="1"/>
          <w:bCs w:val="1"/>
          <w:color w:val="auto"/>
        </w:rPr>
        <w:t>Control</w:t>
      </w:r>
      <w:r>
        <w:rPr>
          <w:rFonts w:ascii="Arial" w:cs="Arial" w:eastAsia="Arial" w:hAnsi="Arial"/>
          <w:sz w:val="20"/>
          <w:szCs w:val="20"/>
          <w:color w:val="auto"/>
        </w:rPr>
        <w:t>” or “</w:t>
      </w:r>
      <w:r>
        <w:rPr>
          <w:rFonts w:ascii="Arial" w:cs="Arial" w:eastAsia="Arial" w:hAnsi="Arial"/>
          <w:sz w:val="20"/>
          <w:szCs w:val="20"/>
          <w:b w:val="1"/>
          <w:bCs w:val="1"/>
          <w:color w:val="auto"/>
        </w:rPr>
        <w:t>Controlled</w:t>
      </w:r>
      <w:r>
        <w:rPr>
          <w:rFonts w:ascii="Arial" w:cs="Arial" w:eastAsia="Arial" w:hAnsi="Arial"/>
          <w:sz w:val="20"/>
          <w:szCs w:val="20"/>
          <w:color w:val="auto"/>
        </w:rPr>
        <w:t>” means, with respect to any Know-How, material, Patent Right, or other intellectual property right, the possession (whether by ownership or license) by a Party or its Affiliates, other than pursuant to this Agreement, of the ability to grant to the other Party a license, sublicense or access as provided herein to such Know-How, material, Patent Right, or other intellectual property right, without violating the terms of any agreement or other arrangement with any Third Party, or with respect to any Know-How, material, Patent Right, or other intellectual property right that comes into the Control of such Party or its Affiliates during the Term, if obligated to pay any royalties or other consideration therefor, if the other Party agrees to pay such royalties or other consideration, in existence as of the time such Party or its Affiliates would first be required hereunder to grant the other Party such license, sublicense or access.</w:t>
      </w:r>
    </w:p>
    <w:p>
      <w:pPr>
        <w:spacing w:after="0" w:line="189" w:lineRule="exact"/>
        <w:rPr>
          <w:rFonts w:ascii="Arial" w:cs="Arial" w:eastAsia="Arial" w:hAnsi="Arial"/>
          <w:sz w:val="18"/>
          <w:szCs w:val="18"/>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Cornea Product</w:t>
      </w:r>
      <w:r>
        <w:rPr>
          <w:rFonts w:ascii="Arial" w:cs="Arial" w:eastAsia="Arial" w:hAnsi="Arial"/>
          <w:sz w:val="18"/>
          <w:szCs w:val="18"/>
          <w:color w:val="auto"/>
        </w:rPr>
        <w:t>” means any Product that consists of, comprises or incorporates [*].</w:t>
      </w:r>
    </w:p>
    <w:p>
      <w:pPr>
        <w:spacing w:after="0" w:line="216" w:lineRule="exact"/>
        <w:rPr>
          <w:rFonts w:ascii="Arial" w:cs="Arial" w:eastAsia="Arial" w:hAnsi="Arial"/>
          <w:sz w:val="18"/>
          <w:szCs w:val="18"/>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 Product Manufacture Technology Transfer Completion Date</w:t>
      </w:r>
      <w:r>
        <w:rPr>
          <w:rFonts w:ascii="Arial" w:cs="Arial" w:eastAsia="Arial" w:hAnsi="Arial"/>
          <w:sz w:val="18"/>
          <w:szCs w:val="18"/>
          <w:color w:val="auto"/>
        </w:rPr>
        <w:t>” shall have the meaning set forth in Section 5.4.</w:t>
      </w:r>
    </w:p>
    <w:p>
      <w:pPr>
        <w:spacing w:after="0" w:line="216" w:lineRule="exact"/>
        <w:rPr>
          <w:rFonts w:ascii="Arial" w:cs="Arial" w:eastAsia="Arial" w:hAnsi="Arial"/>
          <w:sz w:val="18"/>
          <w:szCs w:val="18"/>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 Product Royalty Term</w:t>
      </w:r>
      <w:r>
        <w:rPr>
          <w:rFonts w:ascii="Arial" w:cs="Arial" w:eastAsia="Arial" w:hAnsi="Arial"/>
          <w:sz w:val="18"/>
          <w:szCs w:val="18"/>
          <w:color w:val="auto"/>
        </w:rPr>
        <w:t>” has the meaning set forth in Section 3.4.1.</w:t>
      </w:r>
    </w:p>
    <w:p>
      <w:pPr>
        <w:spacing w:after="0" w:line="216" w:lineRule="exact"/>
        <w:rPr>
          <w:rFonts w:ascii="Arial" w:cs="Arial" w:eastAsia="Arial" w:hAnsi="Arial"/>
          <w:sz w:val="18"/>
          <w:szCs w:val="18"/>
          <w:color w:val="auto"/>
        </w:rPr>
      </w:pPr>
    </w:p>
    <w:p>
      <w:pPr>
        <w:jc w:val="both"/>
        <w:ind w:firstLine="864"/>
        <w:spacing w:after="0" w:line="248" w:lineRule="auto"/>
        <w:rPr>
          <w:sz w:val="20"/>
          <w:szCs w:val="20"/>
          <w:color w:val="auto"/>
        </w:rPr>
      </w:pPr>
      <w:r>
        <w:rPr>
          <w:rFonts w:ascii="Arial" w:cs="Arial" w:eastAsia="Arial" w:hAnsi="Arial"/>
          <w:sz w:val="20"/>
          <w:szCs w:val="20"/>
          <w:color w:val="auto"/>
        </w:rPr>
        <w:t>1.28 “</w:t>
      </w:r>
      <w:r>
        <w:rPr>
          <w:rFonts w:ascii="Arial" w:cs="Arial" w:eastAsia="Arial" w:hAnsi="Arial"/>
          <w:sz w:val="20"/>
          <w:szCs w:val="20"/>
          <w:b w:val="1"/>
          <w:bCs w:val="1"/>
          <w:color w:val="auto"/>
        </w:rPr>
        <w:t>Covered</w:t>
      </w:r>
      <w:r>
        <w:rPr>
          <w:rFonts w:ascii="Arial" w:cs="Arial" w:eastAsia="Arial" w:hAnsi="Arial"/>
          <w:sz w:val="20"/>
          <w:szCs w:val="20"/>
          <w:color w:val="auto"/>
        </w:rPr>
        <w:t>” means, with respect to a claim of a Patent Right and a Product, that such claim, absent a license thereunder or ownership thereof, would be infringed by the Exploitation of such Product; for clarity, with respect to any claims that are pending, such pending claim shall be treated as if it were issued for purposes of determining infringement at the time coverage is assessed. “</w:t>
      </w:r>
      <w:r>
        <w:rPr>
          <w:rFonts w:ascii="Arial" w:cs="Arial" w:eastAsia="Arial" w:hAnsi="Arial"/>
          <w:sz w:val="20"/>
          <w:szCs w:val="20"/>
          <w:b w:val="1"/>
          <w:bCs w:val="1"/>
          <w:color w:val="auto"/>
        </w:rPr>
        <w:t>Cover</w:t>
      </w:r>
      <w:r>
        <w:rPr>
          <w:rFonts w:ascii="Arial" w:cs="Arial" w:eastAsia="Arial" w:hAnsi="Arial"/>
          <w:sz w:val="20"/>
          <w:szCs w:val="20"/>
          <w:color w:val="auto"/>
        </w:rPr>
        <w:t>” when used as a verb shall have the corresponding meaning.</w:t>
      </w:r>
    </w:p>
    <w:p>
      <w:pPr>
        <w:spacing w:after="0" w:line="183" w:lineRule="exact"/>
        <w:rPr>
          <w:rFonts w:ascii="Arial" w:cs="Arial" w:eastAsia="Arial" w:hAnsi="Arial"/>
          <w:sz w:val="18"/>
          <w:szCs w:val="18"/>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Defending Party</w:t>
      </w:r>
      <w:r>
        <w:rPr>
          <w:rFonts w:ascii="Arial" w:cs="Arial" w:eastAsia="Arial" w:hAnsi="Arial"/>
          <w:sz w:val="18"/>
          <w:szCs w:val="18"/>
          <w:color w:val="auto"/>
        </w:rPr>
        <w:t>” has the meaning set forth in Section 4.4.4.</w:t>
      </w:r>
    </w:p>
    <w:p>
      <w:pPr>
        <w:spacing w:after="0" w:line="216" w:lineRule="exact"/>
        <w:rPr>
          <w:rFonts w:ascii="Arial" w:cs="Arial" w:eastAsia="Arial" w:hAnsi="Arial"/>
          <w:sz w:val="18"/>
          <w:szCs w:val="18"/>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Milestone Events</w:t>
      </w:r>
      <w:r>
        <w:rPr>
          <w:rFonts w:ascii="Arial" w:cs="Arial" w:eastAsia="Arial" w:hAnsi="Arial"/>
          <w:sz w:val="16"/>
          <w:szCs w:val="16"/>
          <w:color w:val="auto"/>
        </w:rPr>
        <w:t>” has the meaning set forth in Section 3.2.</w:t>
      </w:r>
    </w:p>
    <w:p>
      <w:pPr>
        <w:spacing w:after="0" w:line="216" w:lineRule="exact"/>
        <w:rPr>
          <w:rFonts w:ascii="Arial" w:cs="Arial" w:eastAsia="Arial" w:hAnsi="Arial"/>
          <w:sz w:val="18"/>
          <w:szCs w:val="18"/>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Milestone Payments</w:t>
      </w:r>
      <w:r>
        <w:rPr>
          <w:rFonts w:ascii="Arial" w:cs="Arial" w:eastAsia="Arial" w:hAnsi="Arial"/>
          <w:sz w:val="16"/>
          <w:szCs w:val="16"/>
          <w:color w:val="auto"/>
        </w:rPr>
        <w:t>” has the meaning set forth in Section 3.2.</w:t>
      </w:r>
    </w:p>
    <w:p>
      <w:pPr>
        <w:spacing w:after="0" w:line="216" w:lineRule="exact"/>
        <w:rPr>
          <w:rFonts w:ascii="Arial" w:cs="Arial" w:eastAsia="Arial" w:hAnsi="Arial"/>
          <w:sz w:val="18"/>
          <w:szCs w:val="18"/>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 Report</w:t>
      </w:r>
      <w:r>
        <w:rPr>
          <w:rFonts w:ascii="Arial" w:cs="Arial" w:eastAsia="Arial" w:hAnsi="Arial"/>
          <w:sz w:val="18"/>
          <w:szCs w:val="18"/>
          <w:color w:val="auto"/>
        </w:rPr>
        <w:t>” has the meaning set forth in Section 6.2.</w:t>
      </w:r>
    </w:p>
    <w:p>
      <w:pPr>
        <w:spacing w:after="0" w:line="222"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20"/>
          <w:szCs w:val="20"/>
          <w:color w:val="auto"/>
        </w:rPr>
        <w:t>3</w:t>
      </w:r>
    </w:p>
    <w:p>
      <w:pPr>
        <w:spacing w:after="0" w:line="18" w:lineRule="exact"/>
        <w:rPr>
          <w:rFonts w:ascii="Arial" w:cs="Arial" w:eastAsia="Arial" w:hAnsi="Arial"/>
          <w:sz w:val="18"/>
          <w:szCs w:val="18"/>
          <w:color w:val="auto"/>
        </w:rPr>
      </w:pPr>
    </w:p>
    <w:p>
      <w:pPr>
        <w:ind w:right="20" w:firstLine="8"/>
        <w:spacing w:after="0" w:line="258" w:lineRule="auto"/>
        <w:tabs>
          <w:tab w:leader="none" w:pos="2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4" w:name="page95"/>
    <w:bookmarkEnd w:id="94"/>
    <w:tbl>
      <w:tblPr>
        <w:tblLayout w:type="fixed"/>
        <w:tblInd w:w="880" w:type="dxa"/>
        <w:tblCellMar>
          <w:top w:w="0" w:type="dxa"/>
          <w:left w:w="0" w:type="dxa"/>
          <w:bottom w:w="0" w:type="dxa"/>
          <w:right w:w="0" w:type="dxa"/>
        </w:tblCellMar>
      </w:tblPr>
      <w:tr>
        <w:trPr>
          <w:trHeight w:val="25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1.33</w:t>
            </w:r>
          </w:p>
        </w:tc>
        <w:tc>
          <w:tcPr>
            <w:tcW w:w="67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Disclosing Party</w:t>
            </w:r>
            <w:r>
              <w:rPr>
                <w:rFonts w:ascii="Arial" w:cs="Arial" w:eastAsia="Arial" w:hAnsi="Arial"/>
                <w:sz w:val="20"/>
                <w:szCs w:val="20"/>
                <w:color w:val="auto"/>
              </w:rPr>
              <w:t>” has the meaning set forth in Section 10.1.1.</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1.34</w:t>
            </w:r>
          </w:p>
        </w:tc>
        <w:tc>
          <w:tcPr>
            <w:tcW w:w="67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Dispute</w:t>
            </w:r>
            <w:r>
              <w:rPr>
                <w:rFonts w:ascii="Arial" w:cs="Arial" w:eastAsia="Arial" w:hAnsi="Arial"/>
                <w:sz w:val="20"/>
                <w:szCs w:val="20"/>
                <w:color w:val="auto"/>
              </w:rPr>
              <w:t>” has the meaning set forth in Section 12.5.</w:t>
            </w:r>
          </w:p>
        </w:tc>
      </w:tr>
      <w:tr>
        <w:trPr>
          <w:trHeight w:val="445"/>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1.35</w:t>
            </w:r>
          </w:p>
        </w:tc>
        <w:tc>
          <w:tcPr>
            <w:tcW w:w="67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has the meaning set forth in the Preamble.</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1.36</w:t>
            </w:r>
          </w:p>
        </w:tc>
        <w:tc>
          <w:tcPr>
            <w:tcW w:w="67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ELUMINEX</w:t>
            </w:r>
            <w:r>
              <w:rPr>
                <w:rFonts w:ascii="Arial" w:cs="Arial" w:eastAsia="Arial" w:hAnsi="Arial"/>
                <w:sz w:val="20"/>
                <w:szCs w:val="20"/>
                <w:color w:val="auto"/>
              </w:rPr>
              <w:t>” has the meaning set forth in the Preamble.</w:t>
            </w:r>
          </w:p>
        </w:tc>
      </w:tr>
      <w:tr>
        <w:trPr>
          <w:trHeight w:val="445"/>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1.37</w:t>
            </w:r>
          </w:p>
        </w:tc>
        <w:tc>
          <w:tcPr>
            <w:tcW w:w="6700" w:type="dxa"/>
            <w:vAlign w:val="bottom"/>
          </w:tcPr>
          <w:p>
            <w:pPr>
              <w:ind w:left="320"/>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color w:val="auto"/>
                <w:w w:val="92"/>
              </w:rPr>
              <w:t>ELUMINEX Indemnified Parties</w:t>
            </w:r>
            <w:r>
              <w:rPr>
                <w:rFonts w:ascii="Arial" w:cs="Arial" w:eastAsia="Arial" w:hAnsi="Arial"/>
                <w:sz w:val="20"/>
                <w:szCs w:val="20"/>
                <w:color w:val="auto"/>
                <w:w w:val="92"/>
              </w:rPr>
              <w:t>” has the meaning set forth in Section 9.1.2.</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1.38</w:t>
            </w:r>
          </w:p>
        </w:tc>
        <w:tc>
          <w:tcPr>
            <w:tcW w:w="67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ELUMINEX IP</w:t>
            </w:r>
            <w:r>
              <w:rPr>
                <w:rFonts w:ascii="Arial" w:cs="Arial" w:eastAsia="Arial" w:hAnsi="Arial"/>
                <w:sz w:val="20"/>
                <w:szCs w:val="20"/>
                <w:color w:val="auto"/>
              </w:rPr>
              <w:t>” has the meaning set forth in Section 4.1.1.</w:t>
            </w:r>
          </w:p>
        </w:tc>
      </w:tr>
      <w:tr>
        <w:trPr>
          <w:trHeight w:val="445"/>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1.39</w:t>
            </w:r>
          </w:p>
        </w:tc>
        <w:tc>
          <w:tcPr>
            <w:tcW w:w="67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Enforcing Party</w:t>
            </w:r>
            <w:r>
              <w:rPr>
                <w:rFonts w:ascii="Arial" w:cs="Arial" w:eastAsia="Arial" w:hAnsi="Arial"/>
                <w:sz w:val="20"/>
                <w:szCs w:val="20"/>
                <w:color w:val="auto"/>
              </w:rPr>
              <w:t>” has the meaning set forth in Section 4.4.3.</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1.40</w:t>
            </w:r>
          </w:p>
        </w:tc>
        <w:tc>
          <w:tcPr>
            <w:tcW w:w="67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Equipment</w:t>
            </w:r>
            <w:r>
              <w:rPr>
                <w:rFonts w:ascii="Arial" w:cs="Arial" w:eastAsia="Arial" w:hAnsi="Arial"/>
                <w:sz w:val="20"/>
                <w:szCs w:val="20"/>
                <w:color w:val="auto"/>
              </w:rPr>
              <w:t>” has the meaning set forth in Section 5.3.</w:t>
            </w:r>
          </w:p>
        </w:tc>
      </w:tr>
    </w:tbl>
    <w:p>
      <w:pPr>
        <w:spacing w:after="0" w:line="189"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1.41 “</w:t>
      </w:r>
      <w:r>
        <w:rPr>
          <w:rFonts w:ascii="Arial" w:cs="Arial" w:eastAsia="Arial" w:hAnsi="Arial"/>
          <w:sz w:val="20"/>
          <w:szCs w:val="20"/>
          <w:b w:val="1"/>
          <w:bCs w:val="1"/>
          <w:color w:val="auto"/>
        </w:rPr>
        <w:t>Exploit</w:t>
      </w:r>
      <w:r>
        <w:rPr>
          <w:rFonts w:ascii="Arial" w:cs="Arial" w:eastAsia="Arial" w:hAnsi="Arial"/>
          <w:sz w:val="20"/>
          <w:szCs w:val="20"/>
          <w:color w:val="auto"/>
        </w:rPr>
        <w:t>” means to research, develop, make, have made, use, offer for sale, sell, import, export, distribute, commercialize, or otherwise exploit a product. “</w:t>
      </w:r>
      <w:r>
        <w:rPr>
          <w:rFonts w:ascii="Arial" w:cs="Arial" w:eastAsia="Arial" w:hAnsi="Arial"/>
          <w:sz w:val="20"/>
          <w:szCs w:val="20"/>
          <w:b w:val="1"/>
          <w:bCs w:val="1"/>
          <w:color w:val="auto"/>
        </w:rPr>
        <w:t>Exploitation</w:t>
      </w:r>
      <w:r>
        <w:rPr>
          <w:rFonts w:ascii="Arial" w:cs="Arial" w:eastAsia="Arial" w:hAnsi="Arial"/>
          <w:sz w:val="20"/>
          <w:szCs w:val="20"/>
          <w:color w:val="auto"/>
        </w:rPr>
        <w:t>” has a corresponding meaning.</w:t>
      </w:r>
    </w:p>
    <w:p>
      <w:pPr>
        <w:spacing w:after="0" w:line="16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its successor.</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FDCA</w:t>
      </w:r>
      <w:r>
        <w:rPr>
          <w:rFonts w:ascii="Arial" w:cs="Arial" w:eastAsia="Arial" w:hAnsi="Arial"/>
          <w:sz w:val="18"/>
          <w:szCs w:val="18"/>
          <w:color w:val="auto"/>
        </w:rPr>
        <w:t>” means the Federal Food Drug and Cosmetic Act, as amended from time to time.</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FIBROGEN</w:t>
      </w:r>
      <w:r>
        <w:rPr>
          <w:rFonts w:ascii="Arial" w:cs="Arial" w:eastAsia="Arial" w:hAnsi="Arial"/>
          <w:sz w:val="18"/>
          <w:szCs w:val="18"/>
          <w:color w:val="auto"/>
        </w:rPr>
        <w:t>” has the meaning set forth in the Preamble.</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1.45 “</w:t>
      </w:r>
      <w:r>
        <w:rPr>
          <w:rFonts w:ascii="Arial" w:cs="Arial" w:eastAsia="Arial" w:hAnsi="Arial"/>
          <w:sz w:val="20"/>
          <w:szCs w:val="20"/>
          <w:b w:val="1"/>
          <w:bCs w:val="1"/>
          <w:color w:val="auto"/>
        </w:rPr>
        <w:t>FIBROGEN Know-How</w:t>
      </w:r>
      <w:r>
        <w:rPr>
          <w:rFonts w:ascii="Arial" w:cs="Arial" w:eastAsia="Arial" w:hAnsi="Arial"/>
          <w:sz w:val="20"/>
          <w:szCs w:val="20"/>
          <w:color w:val="auto"/>
        </w:rPr>
        <w:t xml:space="preserve">” means all Know-How that is owned or otherwise Controlled by FIBROGEN as of the Effective Date and is necessary or reasonably useful for the Exploitation of the Products in the Field in the Territory, including, without limitation, the Know-How as outlined in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7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FIBROGEN Indemnified Parties</w:t>
      </w:r>
      <w:r>
        <w:rPr>
          <w:rFonts w:ascii="Arial" w:cs="Arial" w:eastAsia="Arial" w:hAnsi="Arial"/>
          <w:sz w:val="18"/>
          <w:szCs w:val="18"/>
          <w:color w:val="auto"/>
        </w:rPr>
        <w:t>” has the meaning set forth in Section 9.1.1.</w:t>
      </w:r>
    </w:p>
    <w:p>
      <w:pPr>
        <w:spacing w:after="0" w:line="21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1.47 “</w:t>
      </w:r>
      <w:r>
        <w:rPr>
          <w:rFonts w:ascii="Arial" w:cs="Arial" w:eastAsia="Arial" w:hAnsi="Arial"/>
          <w:sz w:val="20"/>
          <w:szCs w:val="20"/>
          <w:b w:val="1"/>
          <w:bCs w:val="1"/>
          <w:color w:val="auto"/>
        </w:rPr>
        <w:t>FIBROGEN Patents</w:t>
      </w:r>
      <w:r>
        <w:rPr>
          <w:rFonts w:ascii="Arial" w:cs="Arial" w:eastAsia="Arial" w:hAnsi="Arial"/>
          <w:sz w:val="20"/>
          <w:szCs w:val="20"/>
          <w:color w:val="auto"/>
        </w:rPr>
        <w:t>” means any and all Patent Rights that are owned or otherwise Controlled by FIBROGEN as of the Effective Date or become owned or otherwise Controlled by FIBROGEN during the Term that Cover the Exploitation of the Products in the Field in the Territory. For clarity, FIBROGEN Patents shall include, without limitation, [*] (“</w:t>
      </w:r>
      <w:r>
        <w:rPr>
          <w:rFonts w:ascii="Arial" w:cs="Arial" w:eastAsia="Arial" w:hAnsi="Arial"/>
          <w:sz w:val="20"/>
          <w:szCs w:val="20"/>
          <w:b w:val="1"/>
          <w:bCs w:val="1"/>
          <w:color w:val="auto"/>
        </w:rPr>
        <w:t>Know-How Product Patents</w:t>
      </w:r>
      <w:r>
        <w:rPr>
          <w:rFonts w:ascii="Arial" w:cs="Arial" w:eastAsia="Arial" w:hAnsi="Arial"/>
          <w:sz w:val="20"/>
          <w:szCs w:val="20"/>
          <w:color w:val="auto"/>
        </w:rPr>
        <w:t xml:space="preserve">”), and [*]. Currently existing FIBROGEN Patents are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8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1.48 “</w:t>
      </w:r>
      <w:r>
        <w:rPr>
          <w:rFonts w:ascii="Arial" w:cs="Arial" w:eastAsia="Arial" w:hAnsi="Arial"/>
          <w:sz w:val="20"/>
          <w:szCs w:val="20"/>
          <w:b w:val="1"/>
          <w:bCs w:val="1"/>
          <w:color w:val="auto"/>
        </w:rPr>
        <w:t>Field</w:t>
      </w:r>
      <w:r>
        <w:rPr>
          <w:rFonts w:ascii="Arial" w:cs="Arial" w:eastAsia="Arial" w:hAnsi="Arial"/>
          <w:sz w:val="20"/>
          <w:szCs w:val="20"/>
          <w:color w:val="auto"/>
        </w:rPr>
        <w:t>” means all indications and uses, including the prevention, detection, diagnosis, treatment and monitoring of all diseases, states or conditions in humans or animals.</w:t>
      </w:r>
    </w:p>
    <w:p>
      <w:pPr>
        <w:spacing w:after="0" w:line="163"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1.49 “</w:t>
      </w:r>
      <w:r>
        <w:rPr>
          <w:rFonts w:ascii="Arial" w:cs="Arial" w:eastAsia="Arial" w:hAnsi="Arial"/>
          <w:sz w:val="20"/>
          <w:szCs w:val="20"/>
          <w:b w:val="1"/>
          <w:bCs w:val="1"/>
          <w:color w:val="auto"/>
        </w:rPr>
        <w:t>First Commercial Sale</w:t>
      </w:r>
      <w:r>
        <w:rPr>
          <w:rFonts w:ascii="Arial" w:cs="Arial" w:eastAsia="Arial" w:hAnsi="Arial"/>
          <w:sz w:val="20"/>
          <w:szCs w:val="20"/>
          <w:color w:val="auto"/>
        </w:rPr>
        <w:t>” means, with respect to a Product in any country or region, the first sale for end use or consumption of such Product in such country or region after Regulatory Approval has been granted in such country or region.</w:t>
      </w:r>
    </w:p>
    <w:p>
      <w:pPr>
        <w:spacing w:after="0" w:line="163"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8"/>
          <w:szCs w:val="18"/>
          <w:color w:val="auto"/>
        </w:rPr>
        <w:t>1.50 “</w:t>
      </w:r>
      <w:r>
        <w:rPr>
          <w:rFonts w:ascii="Arial" w:cs="Arial" w:eastAsia="Arial" w:hAnsi="Arial"/>
          <w:sz w:val="18"/>
          <w:szCs w:val="18"/>
          <w:b w:val="1"/>
          <w:bCs w:val="1"/>
          <w:color w:val="auto"/>
        </w:rPr>
        <w:t>FTE</w:t>
      </w:r>
      <w:r>
        <w:rPr>
          <w:rFonts w:ascii="Arial" w:cs="Arial" w:eastAsia="Arial" w:hAnsi="Arial"/>
          <w:sz w:val="18"/>
          <w:szCs w:val="18"/>
          <w:color w:val="auto"/>
        </w:rPr>
        <w:t>” means a qualified full time person, or more than one person working the equivalent of a full-time person, where “full time” is based upon a total of 2,080 working hours per Calendar Year of scientific or technical work carried out by one or more duly qualified employees of FIBROGEN. Overtime and work on weekends, holidays, and the like will not be counted with any multiplier (</w:t>
      </w:r>
      <w:r>
        <w:rPr>
          <w:rFonts w:ascii="Arial" w:cs="Arial" w:eastAsia="Arial" w:hAnsi="Arial"/>
          <w:sz w:val="18"/>
          <w:szCs w:val="18"/>
          <w:i w:val="1"/>
          <w:iCs w:val="1"/>
          <w:color w:val="auto"/>
        </w:rPr>
        <w:t>e.g.</w:t>
      </w:r>
      <w:r>
        <w:rPr>
          <w:rFonts w:ascii="Arial" w:cs="Arial" w:eastAsia="Arial" w:hAnsi="Arial"/>
          <w:sz w:val="18"/>
          <w:szCs w:val="18"/>
          <w:color w:val="auto"/>
        </w:rPr>
        <w:t xml:space="preserve"> time-and-a-half or double time) toward the number of hours that are used to calculate the FTE contribution. In the event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8" w:lineRule="exact"/>
        <w:rPr>
          <w:sz w:val="20"/>
          <w:szCs w:val="20"/>
          <w:color w:val="auto"/>
        </w:rPr>
      </w:pPr>
    </w:p>
    <w:p>
      <w:pPr>
        <w:ind w:right="20" w:firstLine="8"/>
        <w:spacing w:after="0" w:line="258" w:lineRule="auto"/>
        <w:tabs>
          <w:tab w:leader="none" w:pos="2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5" w:name="page96"/>
    <w:bookmarkEnd w:id="95"/>
    <w:p>
      <w:pPr>
        <w:jc w:val="both"/>
        <w:spacing w:after="0" w:line="259" w:lineRule="auto"/>
        <w:rPr>
          <w:sz w:val="20"/>
          <w:szCs w:val="20"/>
          <w:color w:val="auto"/>
        </w:rPr>
      </w:pPr>
      <w:r>
        <w:rPr>
          <w:rFonts w:ascii="Arial" w:cs="Arial" w:eastAsia="Arial" w:hAnsi="Arial"/>
          <w:sz w:val="19"/>
          <w:szCs w:val="19"/>
          <w:color w:val="auto"/>
        </w:rPr>
        <w:t>that any person who works full-time during a given Calendar Year works partially on the Initial Technology Transfer or the Manufacture Technology Transfer and partially on other work outside the Initial Technology Transfer or the Manufacture Technology Transfer in the Calendar Year, then the full-time equivalent to be attributed to such person’s work hereunder for such Calendar Year will be equal to the percentage of such person’s total work time in such Calendar Year that such person spent working on the Initial Technology Transfer or the Manufacture Technology Transfer as recorded monthly in an appropriate time-sheet system. For clarity, FTE efforts will not include the work of general corporate or administrative personnel or Third Party consultants or contractors.</w:t>
      </w:r>
    </w:p>
    <w:p>
      <w:pPr>
        <w:spacing w:after="0" w:line="17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1.51 “</w:t>
      </w:r>
      <w:r>
        <w:rPr>
          <w:rFonts w:ascii="Arial" w:cs="Arial" w:eastAsia="Arial" w:hAnsi="Arial"/>
          <w:sz w:val="18"/>
          <w:szCs w:val="18"/>
          <w:b w:val="1"/>
          <w:bCs w:val="1"/>
          <w:color w:val="auto"/>
        </w:rPr>
        <w:t>FTE Rate</w:t>
      </w:r>
      <w:r>
        <w:rPr>
          <w:rFonts w:ascii="Arial" w:cs="Arial" w:eastAsia="Arial" w:hAnsi="Arial"/>
          <w:sz w:val="18"/>
          <w:szCs w:val="18"/>
          <w:color w:val="auto"/>
        </w:rPr>
        <w:t>” means [*] per FTE per hour for FIBROGEN’s employees in the U.S., which amount shall be increased in proportion to any applicable increase in the U.S. CPI once per year at the first and each subsequent anniversary of the Effective Date, and</w:t>
      </w:r>
    </w:p>
    <w:p>
      <w:pPr>
        <w:spacing w:after="0" w:line="1" w:lineRule="exact"/>
        <w:rPr>
          <w:sz w:val="20"/>
          <w:szCs w:val="20"/>
          <w:color w:val="auto"/>
        </w:rPr>
      </w:pPr>
    </w:p>
    <w:p>
      <w:pPr>
        <w:ind w:firstLine="8"/>
        <w:spacing w:after="0" w:line="244" w:lineRule="auto"/>
        <w:tabs>
          <w:tab w:leader="none" w:pos="285" w:val="left"/>
        </w:tabs>
        <w:numPr>
          <w:ilvl w:val="0"/>
          <w:numId w:val="78"/>
        </w:numPr>
        <w:rPr>
          <w:rFonts w:ascii="Arial" w:cs="Arial" w:eastAsia="Arial" w:hAnsi="Arial"/>
          <w:sz w:val="20"/>
          <w:szCs w:val="20"/>
          <w:color w:val="auto"/>
        </w:rPr>
      </w:pPr>
      <w:r>
        <w:rPr>
          <w:rFonts w:ascii="Arial" w:cs="Arial" w:eastAsia="Arial" w:hAnsi="Arial"/>
          <w:sz w:val="20"/>
          <w:szCs w:val="20"/>
          <w:color w:val="auto"/>
        </w:rPr>
        <w:t>per FTE per hour for FIBROGEN’s employees in China, which amount shall be increased in proportion to any applicable increase in the China CPI once per year at the first and each subsequent anniversary of the Effective Date.</w:t>
      </w:r>
    </w:p>
    <w:p>
      <w:pPr>
        <w:spacing w:after="0" w:line="18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1.52 “</w:t>
      </w:r>
      <w:r>
        <w:rPr>
          <w:rFonts w:ascii="Arial" w:cs="Arial" w:eastAsia="Arial" w:hAnsi="Arial"/>
          <w:sz w:val="20"/>
          <w:szCs w:val="20"/>
          <w:b w:val="1"/>
          <w:bCs w:val="1"/>
          <w:color w:val="auto"/>
        </w:rPr>
        <w:t>Government Official</w:t>
      </w:r>
      <w:r>
        <w:rPr>
          <w:rFonts w:ascii="Arial" w:cs="Arial" w:eastAsia="Arial" w:hAnsi="Arial"/>
          <w:sz w:val="20"/>
          <w:szCs w:val="20"/>
          <w:color w:val="auto"/>
        </w:rPr>
        <w:t>” means (a) any official or employee of any Governmental Authority, or any department, agency, or instrumentality thereof (including without limitation commercial entities owned or controlled, directly or indirectly, by a Governmental Authority), (b) any political party or official thereof, or any candidate for political office, in the Territory, (c) any official or employee of any public international organization, or (d) any family members of any of the foregoing.</w:t>
      </w:r>
    </w:p>
    <w:p>
      <w:pPr>
        <w:spacing w:after="0" w:line="18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1.53 “</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multi-national, national, federal, state, local, municipal or other government authority, instrumentality or body of any nature (including any governmental division, subdivision, department, ministry, agency, bureau, branch, office, commission, council, court or other tribunal).</w:t>
      </w:r>
    </w:p>
    <w:p>
      <w:pPr>
        <w:spacing w:after="0" w:line="177"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Initial Technology Transfer</w:t>
      </w:r>
      <w:r>
        <w:rPr>
          <w:rFonts w:ascii="Arial" w:cs="Arial" w:eastAsia="Arial" w:hAnsi="Arial"/>
          <w:sz w:val="18"/>
          <w:szCs w:val="18"/>
          <w:color w:val="auto"/>
        </w:rPr>
        <w:t>” has the meaning set forth in Section 5.1.</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Initiation</w:t>
      </w:r>
      <w:r>
        <w:rPr>
          <w:rFonts w:ascii="Arial" w:cs="Arial" w:eastAsia="Arial" w:hAnsi="Arial"/>
          <w:sz w:val="20"/>
          <w:szCs w:val="20"/>
          <w:color w:val="auto"/>
        </w:rPr>
        <w:t>” means, with respect to a Clinical Trial, the first dosing of the first subject in such Clinical Trial.</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Initiated</w:t>
      </w:r>
      <w:r>
        <w:rPr>
          <w:rFonts w:ascii="Arial" w:cs="Arial" w:eastAsia="Arial" w:hAnsi="Arial"/>
          <w:sz w:val="20"/>
          <w:szCs w:val="20"/>
          <w:color w:val="auto"/>
        </w:rPr>
        <w:t>” shall have a corresponding meaning.</w:t>
      </w:r>
    </w:p>
    <w:p>
      <w:pPr>
        <w:spacing w:after="0" w:line="194"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1.56</w:t>
            </w:r>
          </w:p>
        </w:tc>
        <w:tc>
          <w:tcPr>
            <w:tcW w:w="5600" w:type="dxa"/>
            <w:vAlign w:val="bottom"/>
          </w:tcPr>
          <w:p>
            <w:pPr>
              <w:ind w:left="320"/>
              <w:spacing w:after="0"/>
              <w:rPr>
                <w:sz w:val="20"/>
                <w:szCs w:val="20"/>
                <w:color w:val="auto"/>
              </w:rPr>
            </w:pPr>
            <w:r>
              <w:rPr>
                <w:rFonts w:ascii="Arial" w:cs="Arial" w:eastAsia="Arial" w:hAnsi="Arial"/>
                <w:sz w:val="20"/>
                <w:szCs w:val="20"/>
                <w:color w:val="auto"/>
                <w:w w:val="99"/>
              </w:rPr>
              <w:t>“</w:t>
            </w:r>
            <w:r>
              <w:rPr>
                <w:rFonts w:ascii="Arial" w:cs="Arial" w:eastAsia="Arial" w:hAnsi="Arial"/>
                <w:sz w:val="20"/>
                <w:szCs w:val="20"/>
                <w:b w:val="1"/>
                <w:bCs w:val="1"/>
                <w:color w:val="auto"/>
                <w:w w:val="99"/>
              </w:rPr>
              <w:t>Issuing Party</w:t>
            </w:r>
            <w:r>
              <w:rPr>
                <w:rFonts w:ascii="Arial" w:cs="Arial" w:eastAsia="Arial" w:hAnsi="Arial"/>
                <w:sz w:val="20"/>
                <w:szCs w:val="20"/>
                <w:color w:val="auto"/>
                <w:w w:val="99"/>
              </w:rPr>
              <w:t>” has the meaning set forth in Section 10.2.2.</w:t>
            </w:r>
          </w:p>
        </w:tc>
      </w:tr>
      <w:tr>
        <w:trPr>
          <w:trHeight w:val="445"/>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1.57</w:t>
            </w:r>
          </w:p>
        </w:tc>
        <w:tc>
          <w:tcPr>
            <w:tcW w:w="56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JCC</w:t>
            </w:r>
            <w:r>
              <w:rPr>
                <w:rFonts w:ascii="Arial" w:cs="Arial" w:eastAsia="Arial" w:hAnsi="Arial"/>
                <w:sz w:val="20"/>
                <w:szCs w:val="20"/>
                <w:color w:val="auto"/>
              </w:rPr>
              <w:t>” has the meaning set forth in Section 6.3.</w:t>
            </w:r>
          </w:p>
        </w:tc>
      </w:tr>
      <w:tr>
        <w:trPr>
          <w:trHeight w:val="445"/>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1.58</w:t>
            </w:r>
          </w:p>
        </w:tc>
        <w:tc>
          <w:tcPr>
            <w:tcW w:w="56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Joint IP</w:t>
            </w:r>
            <w:r>
              <w:rPr>
                <w:rFonts w:ascii="Arial" w:cs="Arial" w:eastAsia="Arial" w:hAnsi="Arial"/>
                <w:sz w:val="20"/>
                <w:szCs w:val="20"/>
                <w:color w:val="auto"/>
              </w:rPr>
              <w:t>” has the meaning set forth in Section 4.1.3.</w:t>
            </w:r>
          </w:p>
        </w:tc>
      </w:tr>
      <w:tr>
        <w:trPr>
          <w:trHeight w:val="445"/>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1.59</w:t>
            </w:r>
          </w:p>
        </w:tc>
        <w:tc>
          <w:tcPr>
            <w:tcW w:w="56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Joint Patents</w:t>
            </w:r>
            <w:r>
              <w:rPr>
                <w:rFonts w:ascii="Arial" w:cs="Arial" w:eastAsia="Arial" w:hAnsi="Arial"/>
                <w:sz w:val="20"/>
                <w:szCs w:val="20"/>
                <w:color w:val="auto"/>
              </w:rPr>
              <w:t>” has the meaning set forth in Section 4.1.3.</w:t>
            </w:r>
          </w:p>
        </w:tc>
      </w:tr>
      <w:tr>
        <w:trPr>
          <w:trHeight w:val="445"/>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1.60</w:t>
            </w:r>
          </w:p>
        </w:tc>
        <w:tc>
          <w:tcPr>
            <w:tcW w:w="5600" w:type="dxa"/>
            <w:vAlign w:val="bottom"/>
          </w:tcPr>
          <w:p>
            <w:pPr>
              <w:ind w:left="320"/>
              <w:spacing w:after="0"/>
              <w:rPr>
                <w:sz w:val="20"/>
                <w:szCs w:val="20"/>
                <w:color w:val="auto"/>
              </w:rPr>
            </w:pPr>
            <w:r>
              <w:rPr>
                <w:rFonts w:ascii="Arial" w:cs="Arial" w:eastAsia="Arial" w:hAnsi="Arial"/>
                <w:sz w:val="20"/>
                <w:szCs w:val="20"/>
                <w:color w:val="auto"/>
                <w:w w:val="88"/>
              </w:rPr>
              <w:t>“</w:t>
            </w:r>
            <w:r>
              <w:rPr>
                <w:rFonts w:ascii="Arial" w:cs="Arial" w:eastAsia="Arial" w:hAnsi="Arial"/>
                <w:sz w:val="20"/>
                <w:szCs w:val="20"/>
                <w:b w:val="1"/>
                <w:bCs w:val="1"/>
                <w:color w:val="auto"/>
                <w:w w:val="88"/>
              </w:rPr>
              <w:t>Joint Press Release</w:t>
            </w:r>
            <w:r>
              <w:rPr>
                <w:rFonts w:ascii="Arial" w:cs="Arial" w:eastAsia="Arial" w:hAnsi="Arial"/>
                <w:sz w:val="20"/>
                <w:szCs w:val="20"/>
                <w:color w:val="auto"/>
                <w:w w:val="88"/>
              </w:rPr>
              <w:t>” has the meaning set forth in Section 10.2.1.</w:t>
            </w:r>
          </w:p>
        </w:tc>
      </w:tr>
    </w:tbl>
    <w:p>
      <w:pPr>
        <w:spacing w:after="0" w:line="189"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1.61 “</w:t>
      </w:r>
      <w:r>
        <w:rPr>
          <w:rFonts w:ascii="Arial" w:cs="Arial" w:eastAsia="Arial" w:hAnsi="Arial"/>
          <w:sz w:val="20"/>
          <w:szCs w:val="20"/>
          <w:b w:val="1"/>
          <w:bCs w:val="1"/>
          <w:color w:val="auto"/>
        </w:rPr>
        <w:t>Know-How</w:t>
      </w:r>
      <w:r>
        <w:rPr>
          <w:rFonts w:ascii="Arial" w:cs="Arial" w:eastAsia="Arial" w:hAnsi="Arial"/>
          <w:sz w:val="20"/>
          <w:szCs w:val="20"/>
          <w:color w:val="auto"/>
        </w:rPr>
        <w:t>” means non-public techniques, technology, trade secrets, inventions (whether patentable or not), methods, know-how, data and results (including pharmacological, toxicological and clinical data and results), analytical and quality control data and results, regulatory documents, and other information, compositions of matter, cells, cell lines, assays, animal models and other physical, biological, or chemical material.</w:t>
      </w:r>
    </w:p>
    <w:p>
      <w:pPr>
        <w:spacing w:after="0" w:line="183"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color w:val="auto"/>
        </w:rPr>
        <w:t>1.62 “</w:t>
      </w:r>
      <w:r>
        <w:rPr>
          <w:rFonts w:ascii="Arial" w:cs="Arial" w:eastAsia="Arial" w:hAnsi="Arial"/>
          <w:sz w:val="20"/>
          <w:szCs w:val="20"/>
          <w:b w:val="1"/>
          <w:bCs w:val="1"/>
          <w:color w:val="auto"/>
        </w:rPr>
        <w:t>Know-How Product IP</w:t>
      </w:r>
      <w:r>
        <w:rPr>
          <w:rFonts w:ascii="Arial" w:cs="Arial" w:eastAsia="Arial" w:hAnsi="Arial"/>
          <w:sz w:val="20"/>
          <w:szCs w:val="20"/>
          <w:color w:val="auto"/>
        </w:rPr>
        <w:t>” means any new and registerable intellectual property rights directed to any FIBROGEN Know-How.</w:t>
      </w:r>
    </w:p>
    <w:p>
      <w:pPr>
        <w:spacing w:after="0" w:line="16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Know-How Product Patents</w:t>
      </w:r>
      <w:r>
        <w:rPr>
          <w:rFonts w:ascii="Arial" w:cs="Arial" w:eastAsia="Arial" w:hAnsi="Arial"/>
          <w:sz w:val="18"/>
          <w:szCs w:val="18"/>
          <w:color w:val="auto"/>
        </w:rPr>
        <w:t>” has the meaning set forth in Section 1.47.</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8" w:lineRule="exact"/>
        <w:rPr>
          <w:sz w:val="20"/>
          <w:szCs w:val="20"/>
          <w:color w:val="auto"/>
        </w:rPr>
      </w:pPr>
    </w:p>
    <w:p>
      <w:pPr>
        <w:ind w:right="20" w:firstLine="8"/>
        <w:spacing w:after="0" w:line="258" w:lineRule="auto"/>
        <w:tabs>
          <w:tab w:leader="none" w:pos="2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6" w:name="page97"/>
    <w:bookmarkEnd w:id="96"/>
    <w:p>
      <w:pPr>
        <w:jc w:val="both"/>
        <w:ind w:firstLine="864"/>
        <w:spacing w:after="0" w:line="248" w:lineRule="auto"/>
        <w:rPr>
          <w:sz w:val="20"/>
          <w:szCs w:val="20"/>
          <w:color w:val="auto"/>
        </w:rPr>
      </w:pPr>
      <w:r>
        <w:rPr>
          <w:rFonts w:ascii="Arial" w:cs="Arial" w:eastAsia="Arial" w:hAnsi="Arial"/>
          <w:sz w:val="20"/>
          <w:szCs w:val="20"/>
          <w:color w:val="auto"/>
        </w:rPr>
        <w:t>1.64 “</w:t>
      </w:r>
      <w:r>
        <w:rPr>
          <w:rFonts w:ascii="Arial" w:cs="Arial" w:eastAsia="Arial" w:hAnsi="Arial"/>
          <w:sz w:val="20"/>
          <w:szCs w:val="20"/>
          <w:b w:val="1"/>
          <w:bCs w:val="1"/>
          <w:color w:val="auto"/>
        </w:rPr>
        <w:t>Law</w:t>
      </w:r>
      <w:r>
        <w:rPr>
          <w:rFonts w:ascii="Arial" w:cs="Arial" w:eastAsia="Arial" w:hAnsi="Arial"/>
          <w:sz w:val="20"/>
          <w:szCs w:val="20"/>
          <w:color w:val="auto"/>
        </w:rPr>
        <w:t>” means laws, statutes, rules, regulations, and other pronouncements having the effect of law of any Governmental Authority that may be in effect from time to time, including disclosure obligations required by any stock exchange or securities commission having authority over a Party and any rules, regulations, guidances, or other requirements of any Regulatory Authority that may be in effect from time to time.</w:t>
      </w:r>
    </w:p>
    <w:p>
      <w:pPr>
        <w:spacing w:after="0" w:line="18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w:t>
      </w:r>
      <w:r>
        <w:rPr>
          <w:rFonts w:ascii="Arial" w:cs="Arial" w:eastAsia="Arial" w:hAnsi="Arial"/>
          <w:sz w:val="16"/>
          <w:szCs w:val="16"/>
          <w:color w:val="auto"/>
        </w:rPr>
        <w:t>” has the meaning set forth in Section 2.1.</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Technology</w:t>
      </w:r>
      <w:r>
        <w:rPr>
          <w:rFonts w:ascii="Arial" w:cs="Arial" w:eastAsia="Arial" w:hAnsi="Arial"/>
          <w:sz w:val="18"/>
          <w:szCs w:val="18"/>
          <w:color w:val="auto"/>
        </w:rPr>
        <w:t>” means the FIBROGEN Patents and the FIBROGEN Know-How.</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has the meaning set forth in Section 9.1.1.</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Manufacture Technology Transfer</w:t>
      </w:r>
      <w:r>
        <w:rPr>
          <w:rFonts w:ascii="Arial" w:cs="Arial" w:eastAsia="Arial" w:hAnsi="Arial"/>
          <w:sz w:val="18"/>
          <w:szCs w:val="18"/>
          <w:color w:val="auto"/>
        </w:rPr>
        <w:t>” has the meaning set forth in Section 5.4.</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1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color w:val="auto"/>
        </w:rPr>
        <w:t>1.70 “</w:t>
      </w:r>
      <w:r>
        <w:rPr>
          <w:rFonts w:ascii="Arial" w:cs="Arial" w:eastAsia="Arial" w:hAnsi="Arial"/>
          <w:sz w:val="20"/>
          <w:szCs w:val="20"/>
          <w:b w:val="1"/>
          <w:bCs w:val="1"/>
          <w:color w:val="auto"/>
        </w:rPr>
        <w:t>Net Sales</w:t>
      </w:r>
      <w:r>
        <w:rPr>
          <w:rFonts w:ascii="Arial" w:cs="Arial" w:eastAsia="Arial" w:hAnsi="Arial"/>
          <w:sz w:val="20"/>
          <w:szCs w:val="20"/>
          <w:color w:val="auto"/>
        </w:rPr>
        <w:t>” means, with respect to a Product, the gross amount invoiced for such Product sold by ELUMINEX, its Affiliates or Sublicensee(s) (the “</w:t>
      </w:r>
      <w:r>
        <w:rPr>
          <w:rFonts w:ascii="Arial" w:cs="Arial" w:eastAsia="Arial" w:hAnsi="Arial"/>
          <w:sz w:val="20"/>
          <w:szCs w:val="20"/>
          <w:b w:val="1"/>
          <w:bCs w:val="1"/>
          <w:color w:val="auto"/>
        </w:rPr>
        <w:t>Selling Party</w:t>
      </w:r>
      <w:r>
        <w:rPr>
          <w:rFonts w:ascii="Arial" w:cs="Arial" w:eastAsia="Arial" w:hAnsi="Arial"/>
          <w:sz w:val="20"/>
          <w:szCs w:val="20"/>
          <w:color w:val="auto"/>
        </w:rPr>
        <w:t>”) to Third Parties, less the following deductions with respect to such sales that are either included in the billing as a line item as part of the gross amount invoiced, or otherwise documented as a deduction in accordance with the applicable Accounting Standards (without duplication):</w:t>
      </w:r>
    </w:p>
    <w:p>
      <w:pPr>
        <w:spacing w:after="0" w:line="189" w:lineRule="exact"/>
        <w:rPr>
          <w:sz w:val="20"/>
          <w:szCs w:val="20"/>
          <w:color w:val="auto"/>
        </w:rPr>
      </w:pPr>
    </w:p>
    <w:p>
      <w:pPr>
        <w:ind w:firstLine="1735"/>
        <w:spacing w:after="0" w:line="316" w:lineRule="auto"/>
        <w:tabs>
          <w:tab w:leader="none" w:pos="25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sales taxes, excise taxes, use taxes, inventory taxes, VAT and duties paid by the Selling Party in relation to the Product and any other equivalent governmental charges imposed upon the importation, delivery, use or sale of the Product [*];</w:t>
      </w:r>
    </w:p>
    <w:p>
      <w:pPr>
        <w:spacing w:after="0" w:line="129" w:lineRule="exact"/>
        <w:rPr>
          <w:rFonts w:ascii="Arial" w:cs="Arial" w:eastAsia="Arial" w:hAnsi="Arial"/>
          <w:sz w:val="18"/>
          <w:szCs w:val="18"/>
          <w:color w:val="auto"/>
        </w:rPr>
      </w:pPr>
    </w:p>
    <w:p>
      <w:pPr>
        <w:ind w:firstLine="1735"/>
        <w:spacing w:after="0" w:line="260" w:lineRule="auto"/>
        <w:tabs>
          <w:tab w:leader="none" w:pos="2606" w:val="left"/>
        </w:tabs>
        <w:numPr>
          <w:ilvl w:val="0"/>
          <w:numId w:val="80"/>
        </w:numPr>
        <w:rPr>
          <w:rFonts w:ascii="Arial" w:cs="Arial" w:eastAsia="Arial" w:hAnsi="Arial"/>
          <w:sz w:val="20"/>
          <w:szCs w:val="20"/>
          <w:color w:val="auto"/>
        </w:rPr>
      </w:pPr>
      <w:r>
        <w:rPr>
          <w:rFonts w:ascii="Arial" w:cs="Arial" w:eastAsia="Arial" w:hAnsi="Arial"/>
          <w:sz w:val="20"/>
          <w:szCs w:val="20"/>
          <w:color w:val="auto"/>
        </w:rPr>
        <w:t>credits and allowances for defective or returned Product, including allowances for spoiled, damaged, outdated, rejected, returned, withdrawn or recalled Product;</w:t>
      </w:r>
    </w:p>
    <w:p>
      <w:pPr>
        <w:spacing w:after="0" w:line="176" w:lineRule="exact"/>
        <w:rPr>
          <w:rFonts w:ascii="Arial" w:cs="Arial" w:eastAsia="Arial" w:hAnsi="Arial"/>
          <w:sz w:val="20"/>
          <w:szCs w:val="20"/>
          <w:color w:val="auto"/>
        </w:rPr>
      </w:pPr>
    </w:p>
    <w:p>
      <w:pPr>
        <w:jc w:val="both"/>
        <w:ind w:firstLine="1735"/>
        <w:spacing w:after="0" w:line="269" w:lineRule="auto"/>
        <w:tabs>
          <w:tab w:leader="none" w:pos="2595" w:val="left"/>
        </w:tabs>
        <w:numPr>
          <w:ilvl w:val="0"/>
          <w:numId w:val="80"/>
        </w:numPr>
        <w:rPr>
          <w:rFonts w:ascii="Arial" w:cs="Arial" w:eastAsia="Arial" w:hAnsi="Arial"/>
          <w:sz w:val="19"/>
          <w:szCs w:val="19"/>
          <w:color w:val="auto"/>
        </w:rPr>
      </w:pPr>
      <w:r>
        <w:rPr>
          <w:rFonts w:ascii="Arial" w:cs="Arial" w:eastAsia="Arial" w:hAnsi="Arial"/>
          <w:sz w:val="19"/>
          <w:szCs w:val="19"/>
          <w:color w:val="auto"/>
        </w:rPr>
        <w:t>governmental and other rebates, refunds, and chargebacks (or equivalents thereof) granted to managed health care organizations, pharmacy benefit managers (or equivalents thereof), federal, state, provincial, local and other governments, their agencies and purchasers and reimbursers or to trade customers, in each case with respect to the Product;</w:t>
      </w:r>
    </w:p>
    <w:p>
      <w:pPr>
        <w:spacing w:after="0" w:line="169" w:lineRule="exact"/>
        <w:rPr>
          <w:rFonts w:ascii="Arial" w:cs="Arial" w:eastAsia="Arial" w:hAnsi="Arial"/>
          <w:sz w:val="19"/>
          <w:szCs w:val="19"/>
          <w:color w:val="auto"/>
        </w:rPr>
      </w:pPr>
    </w:p>
    <w:p>
      <w:pPr>
        <w:jc w:val="both"/>
        <w:ind w:firstLine="1735"/>
        <w:spacing w:after="0" w:line="250" w:lineRule="auto"/>
        <w:tabs>
          <w:tab w:leader="none" w:pos="2606" w:val="left"/>
        </w:tabs>
        <w:numPr>
          <w:ilvl w:val="0"/>
          <w:numId w:val="80"/>
        </w:numPr>
        <w:rPr>
          <w:rFonts w:ascii="Arial" w:cs="Arial" w:eastAsia="Arial" w:hAnsi="Arial"/>
          <w:sz w:val="20"/>
          <w:szCs w:val="20"/>
          <w:color w:val="auto"/>
        </w:rPr>
      </w:pPr>
      <w:r>
        <w:rPr>
          <w:rFonts w:ascii="Arial" w:cs="Arial" w:eastAsia="Arial" w:hAnsi="Arial"/>
          <w:sz w:val="20"/>
          <w:szCs w:val="20"/>
          <w:color w:val="auto"/>
        </w:rPr>
        <w:t>reasonable fees paid to or rebates granted to wholesalers, distributors, selling agents (excluding any sales representatives of a Selling Party), hospitals, group purchasing organizations, Third Party payors (including health insurance carriers), other contractees and managed care entities, in each case with respect to the Product;</w:t>
      </w:r>
    </w:p>
    <w:p>
      <w:pPr>
        <w:spacing w:after="0" w:line="185" w:lineRule="exact"/>
        <w:rPr>
          <w:rFonts w:ascii="Arial" w:cs="Arial" w:eastAsia="Arial" w:hAnsi="Arial"/>
          <w:sz w:val="20"/>
          <w:szCs w:val="20"/>
          <w:color w:val="auto"/>
        </w:rPr>
      </w:pPr>
    </w:p>
    <w:p>
      <w:pPr>
        <w:ind w:left="2600" w:hanging="865"/>
        <w:spacing w:after="0"/>
        <w:tabs>
          <w:tab w:leader="none" w:pos="26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amounts written off by reason of uncollectible debt if and when actually written off or allowed; </w:t>
      </w:r>
      <w:r>
        <w:rPr>
          <w:rFonts w:ascii="Arial" w:cs="Arial" w:eastAsia="Arial" w:hAnsi="Arial"/>
          <w:sz w:val="19"/>
          <w:szCs w:val="19"/>
          <w:i w:val="1"/>
          <w:iCs w:val="1"/>
          <w:color w:val="auto"/>
        </w:rPr>
        <w:t>provided</w:t>
      </w:r>
      <w:r>
        <w:rPr>
          <w:rFonts w:ascii="Arial" w:cs="Arial" w:eastAsia="Arial" w:hAnsi="Arial"/>
          <w:sz w:val="19"/>
          <w:szCs w:val="19"/>
          <w:color w:val="auto"/>
        </w:rPr>
        <w:t>,</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i w:val="1"/>
          <w:iCs w:val="1"/>
          <w:color w:val="auto"/>
        </w:rPr>
        <w:t>however</w:t>
      </w:r>
      <w:r>
        <w:rPr>
          <w:rFonts w:ascii="Arial" w:cs="Arial" w:eastAsia="Arial" w:hAnsi="Arial"/>
          <w:sz w:val="20"/>
          <w:szCs w:val="20"/>
          <w:color w:val="auto"/>
        </w:rPr>
        <w:t>, [*];</w:t>
      </w:r>
    </w:p>
    <w:p>
      <w:pPr>
        <w:spacing w:after="0" w:line="199" w:lineRule="exact"/>
        <w:rPr>
          <w:rFonts w:ascii="Arial" w:cs="Arial" w:eastAsia="Arial" w:hAnsi="Arial"/>
          <w:sz w:val="19"/>
          <w:szCs w:val="19"/>
          <w:color w:val="auto"/>
        </w:rPr>
      </w:pPr>
    </w:p>
    <w:p>
      <w:pPr>
        <w:ind w:left="2580" w:hanging="845"/>
        <w:spacing w:after="0"/>
        <w:tabs>
          <w:tab w:leader="none" w:pos="2580"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reasonable transportation charges relating to the Product, including handling charges and insurance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premiums relating thereto; and</w:t>
      </w:r>
    </w:p>
    <w:p>
      <w:pPr>
        <w:spacing w:after="0" w:line="199" w:lineRule="exact"/>
        <w:rPr>
          <w:rFonts w:ascii="Arial" w:cs="Arial" w:eastAsia="Arial" w:hAnsi="Arial"/>
          <w:sz w:val="19"/>
          <w:szCs w:val="19"/>
          <w:color w:val="auto"/>
        </w:rPr>
      </w:pPr>
    </w:p>
    <w:p>
      <w:pPr>
        <w:ind w:left="2620" w:hanging="885"/>
        <w:spacing w:after="0"/>
        <w:tabs>
          <w:tab w:leader="none" w:pos="26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trade, cash, prompt payment and/or quantity discounts, allowed and taken directly by the Third Party.</w:t>
      </w:r>
    </w:p>
    <w:p>
      <w:pPr>
        <w:spacing w:after="0" w:line="22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auto"/>
        </w:rPr>
        <w:t>Net Sales shall be determined from books and records maintained in accordance with the applicable Accounting Standards, consistently applied throughout the organization and across all products of the Selling Party whose sales of the Product are giving rise to Net Sales.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18" w:lineRule="exact"/>
        <w:rPr>
          <w:sz w:val="20"/>
          <w:szCs w:val="20"/>
          <w:color w:val="auto"/>
        </w:rPr>
      </w:pPr>
    </w:p>
    <w:p>
      <w:pPr>
        <w:ind w:right="20" w:firstLine="8"/>
        <w:spacing w:after="0" w:line="258" w:lineRule="auto"/>
        <w:tabs>
          <w:tab w:leader="none" w:pos="2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7" w:name="page98"/>
    <w:bookmarkEnd w:id="97"/>
    <w:p>
      <w:pPr>
        <w:jc w:val="both"/>
        <w:ind w:firstLine="1727"/>
        <w:spacing w:after="0" w:line="259" w:lineRule="auto"/>
        <w:rPr>
          <w:sz w:val="20"/>
          <w:szCs w:val="20"/>
          <w:color w:val="auto"/>
        </w:rPr>
      </w:pPr>
      <w:r>
        <w:rPr>
          <w:rFonts w:ascii="Arial" w:cs="Arial" w:eastAsia="Arial" w:hAnsi="Arial"/>
          <w:sz w:val="19"/>
          <w:szCs w:val="19"/>
          <w:color w:val="auto"/>
        </w:rPr>
        <w:t>Net Sales for any Combination Product will be calculated on a country-by-country (or region-by-region) basis by multiplying actual Net Sales of such Combination Product by the fraction (A-B)/A, where A is the gross invoice price for such Combination Product in such country (or region) and B is the gross invoice price for the Other Component contained in such Combination Product if such Other Component is sold separately in finished form in such country (or region). If such Other Component is not sold separately in finished form in such country (or region), the Parties will determine Net Sales for such Combination Product by mutual agreement [*], and will take into account in good faith any applicable allocations and calculations [*].</w:t>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auto"/>
        </w:rPr>
        <w:t>For the avoidance of doubt, disposition of Product for, or use of Product in, Clinical Trials or other scientific testing, as free samples, or under compassionate use, patient assistance, or test marketing programs or other similar programs or studies, [*] shall not be considered Net Sales under this Agreement.</w:t>
      </w:r>
    </w:p>
    <w:p>
      <w:pPr>
        <w:spacing w:after="0" w:line="186" w:lineRule="exact"/>
        <w:rPr>
          <w:sz w:val="20"/>
          <w:szCs w:val="20"/>
          <w:color w:val="auto"/>
        </w:rPr>
      </w:pPr>
    </w:p>
    <w:p>
      <w:pPr>
        <w:jc w:val="both"/>
        <w:ind w:firstLine="1727"/>
        <w:spacing w:after="0" w:line="316" w:lineRule="auto"/>
        <w:rPr>
          <w:sz w:val="20"/>
          <w:szCs w:val="20"/>
          <w:color w:val="auto"/>
        </w:rPr>
      </w:pPr>
      <w:r>
        <w:rPr>
          <w:rFonts w:ascii="Arial" w:cs="Arial" w:eastAsia="Arial" w:hAnsi="Arial"/>
          <w:sz w:val="18"/>
          <w:szCs w:val="18"/>
          <w:color w:val="auto"/>
        </w:rPr>
        <w:t>Sales of a Product between or among ELUMINEX and its Affiliates or Sublicensees shall be excluded from the computation of Net Sales and no payments shall be payable on such sales except where such Affiliates or Sublicensees are end users.</w:t>
      </w:r>
    </w:p>
    <w:p>
      <w:pPr>
        <w:spacing w:after="0" w:line="12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NMPA</w:t>
      </w:r>
      <w:r>
        <w:rPr>
          <w:rFonts w:ascii="Arial" w:cs="Arial" w:eastAsia="Arial" w:hAnsi="Arial"/>
          <w:sz w:val="18"/>
          <w:szCs w:val="18"/>
          <w:color w:val="auto"/>
        </w:rPr>
        <w:t>” means the National Medical Products Administration of People’s Republic of China, or its successor.</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Other Component</w:t>
      </w:r>
      <w:r>
        <w:rPr>
          <w:rFonts w:ascii="Arial" w:cs="Arial" w:eastAsia="Arial" w:hAnsi="Arial"/>
          <w:sz w:val="18"/>
          <w:szCs w:val="18"/>
          <w:color w:val="auto"/>
        </w:rPr>
        <w:t>” has the meaning set forth in Section 1.17.</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Other Product</w:t>
      </w:r>
      <w:r>
        <w:rPr>
          <w:rFonts w:ascii="Arial" w:cs="Arial" w:eastAsia="Arial" w:hAnsi="Arial"/>
          <w:sz w:val="18"/>
          <w:szCs w:val="18"/>
          <w:color w:val="auto"/>
        </w:rPr>
        <w:t>” means any Product [*].</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Product Royalty Term</w:t>
      </w:r>
      <w:r>
        <w:rPr>
          <w:rFonts w:ascii="Arial" w:cs="Arial" w:eastAsia="Arial" w:hAnsi="Arial"/>
          <w:sz w:val="18"/>
          <w:szCs w:val="18"/>
          <w:color w:val="auto"/>
        </w:rPr>
        <w:t>” has the meaning set forth in Section 3.4.2.</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1.75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has the meaning set forth in the Preamble.</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1.76 “</w:t>
      </w:r>
      <w:r>
        <w:rPr>
          <w:rFonts w:ascii="Arial" w:cs="Arial" w:eastAsia="Arial" w:hAnsi="Arial"/>
          <w:sz w:val="20"/>
          <w:szCs w:val="20"/>
          <w:b w:val="1"/>
          <w:bCs w:val="1"/>
          <w:color w:val="auto"/>
        </w:rPr>
        <w:t>Patent Rights</w:t>
      </w:r>
      <w:r>
        <w:rPr>
          <w:rFonts w:ascii="Arial" w:cs="Arial" w:eastAsia="Arial" w:hAnsi="Arial"/>
          <w:sz w:val="20"/>
          <w:szCs w:val="20"/>
          <w:color w:val="auto"/>
        </w:rPr>
        <w:t>” means the rights and interests in and to all national, regional and international (a) patent applications, including, without limitation, provisional, converted provisional, and non-provisional, and continued prosecution application, continuation, divisional or continuation-in-part thereof, and (b) patents (including any patents issuing from any patent applications in (a)), including, without limitation, certificates of invention, registrations, reissues, extensions, substitutions, confirmations, renewals, re-registrations, re-examinations, revalidations, patents of additions or like filing thereof.</w:t>
      </w:r>
    </w:p>
    <w:p>
      <w:pPr>
        <w:spacing w:after="0" w:line="18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1.77 “</w:t>
      </w:r>
      <w:r>
        <w:rPr>
          <w:rFonts w:ascii="Arial" w:cs="Arial" w:eastAsia="Arial" w:hAnsi="Arial"/>
          <w:sz w:val="20"/>
          <w:szCs w:val="20"/>
          <w:b w:val="1"/>
          <w:bCs w:val="1"/>
          <w:color w:val="auto"/>
        </w:rPr>
        <w:t>Person</w:t>
      </w:r>
      <w:r>
        <w:rPr>
          <w:rFonts w:ascii="Arial" w:cs="Arial" w:eastAsia="Arial" w:hAnsi="Arial"/>
          <w:sz w:val="20"/>
          <w:szCs w:val="20"/>
          <w:color w:val="auto"/>
        </w:rPr>
        <w:t>” means any corporation, limited or general partnership, limited liability company, joint venture, trust, unincorporated association, governmental body, authority, bureau or agency, any other entity or body, or an individual.</w:t>
      </w:r>
    </w:p>
    <w:p>
      <w:pPr>
        <w:spacing w:after="0" w:line="163" w:lineRule="exact"/>
        <w:rPr>
          <w:sz w:val="20"/>
          <w:szCs w:val="20"/>
          <w:color w:val="auto"/>
        </w:rPr>
      </w:pPr>
    </w:p>
    <w:p>
      <w:pPr>
        <w:jc w:val="both"/>
        <w:ind w:firstLine="864"/>
        <w:spacing w:after="0" w:line="330" w:lineRule="auto"/>
        <w:rPr>
          <w:sz w:val="20"/>
          <w:szCs w:val="20"/>
          <w:color w:val="auto"/>
        </w:rPr>
      </w:pPr>
      <w:r>
        <w:rPr>
          <w:rFonts w:ascii="Arial" w:cs="Arial" w:eastAsia="Arial" w:hAnsi="Arial"/>
          <w:sz w:val="16"/>
          <w:szCs w:val="16"/>
          <w:color w:val="auto"/>
        </w:rPr>
        <w:t>1.78 “</w:t>
      </w:r>
      <w:r>
        <w:rPr>
          <w:rFonts w:ascii="Arial" w:cs="Arial" w:eastAsia="Arial" w:hAnsi="Arial"/>
          <w:sz w:val="16"/>
          <w:szCs w:val="16"/>
          <w:b w:val="1"/>
          <w:bCs w:val="1"/>
          <w:color w:val="auto"/>
        </w:rPr>
        <w:t>Pivotal Trial</w:t>
      </w:r>
      <w:r>
        <w:rPr>
          <w:rFonts w:ascii="Arial" w:cs="Arial" w:eastAsia="Arial" w:hAnsi="Arial"/>
          <w:sz w:val="16"/>
          <w:szCs w:val="16"/>
          <w:color w:val="auto"/>
        </w:rPr>
        <w:t>” means a Clinical Trial of a Product in human subjects which is designed (or subsequently achieves the following): (a) to establish that the Product is safe and efficacious for its intended use; (b) to define warnings, precautions and adverse reactions that are associated with the Product in the dosage range to be prescribed; and (c) to be, either by itself or together with one or more other Clinical Trials having a comparable design and size, the final human Clinical Trial in support of Regulatory Approval of the Product.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18" w:lineRule="exact"/>
        <w:rPr>
          <w:sz w:val="20"/>
          <w:szCs w:val="20"/>
          <w:color w:val="auto"/>
        </w:rPr>
      </w:pPr>
    </w:p>
    <w:p>
      <w:pPr>
        <w:ind w:right="20" w:firstLine="8"/>
        <w:spacing w:after="0" w:line="258" w:lineRule="auto"/>
        <w:tabs>
          <w:tab w:leader="none" w:pos="2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8" w:name="page99"/>
    <w:bookmarkEnd w:id="98"/>
    <w:p>
      <w:pPr>
        <w:jc w:val="both"/>
        <w:ind w:firstLine="864"/>
        <w:spacing w:after="0" w:line="272" w:lineRule="auto"/>
        <w:rPr>
          <w:sz w:val="20"/>
          <w:szCs w:val="20"/>
          <w:color w:val="auto"/>
        </w:rPr>
      </w:pPr>
      <w:r>
        <w:rPr>
          <w:rFonts w:ascii="Arial" w:cs="Arial" w:eastAsia="Arial" w:hAnsi="Arial"/>
          <w:sz w:val="19"/>
          <w:szCs w:val="19"/>
          <w:color w:val="auto"/>
        </w:rPr>
        <w:t>1.79 “</w:t>
      </w:r>
      <w:r>
        <w:rPr>
          <w:rFonts w:ascii="Arial" w:cs="Arial" w:eastAsia="Arial" w:hAnsi="Arial"/>
          <w:sz w:val="19"/>
          <w:szCs w:val="19"/>
          <w:b w:val="1"/>
          <w:bCs w:val="1"/>
          <w:color w:val="auto"/>
        </w:rPr>
        <w:t>Product</w:t>
      </w:r>
      <w:r>
        <w:rPr>
          <w:rFonts w:ascii="Arial" w:cs="Arial" w:eastAsia="Arial" w:hAnsi="Arial"/>
          <w:sz w:val="19"/>
          <w:szCs w:val="19"/>
          <w:color w:val="auto"/>
        </w:rPr>
        <w:t>” means any product or device that (a) consists of, comprises or incorporates any [*], (b) is manufactured by or on behalf of ELUMINEX or its Affiliates, and (c) is Covered by FIBROGEN Patents or constitutes, incorporates, comprises or contains FIBROGEN Know-How, in any and all current and future forms, presentations, strengths, and delivery modes.</w:t>
      </w:r>
    </w:p>
    <w:p>
      <w:pPr>
        <w:spacing w:after="0" w:line="162"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1.80 “</w:t>
      </w:r>
      <w:r>
        <w:rPr>
          <w:rFonts w:ascii="Arial" w:cs="Arial" w:eastAsia="Arial" w:hAnsi="Arial"/>
          <w:sz w:val="18"/>
          <w:szCs w:val="18"/>
          <w:b w:val="1"/>
          <w:bCs w:val="1"/>
          <w:color w:val="auto"/>
        </w:rPr>
        <w:t>Proper Conduct Practices</w:t>
      </w:r>
      <w:r>
        <w:rPr>
          <w:rFonts w:ascii="Arial" w:cs="Arial" w:eastAsia="Arial" w:hAnsi="Arial"/>
          <w:sz w:val="18"/>
          <w:szCs w:val="18"/>
          <w:color w:val="auto"/>
        </w:rPr>
        <w:t>” means all applicable Laws prohibiting a Person (and/or its Representatives) from (a) making, offering, authorizing, providing or paying anything of value in any form, whether in money, property, services or otherwise to any Governmental Authority, Government Official, or other Person charged with similar public or quasi-public duties, or to any customer, supplier, or any other Person, or to any employee thereof, or failing to disclose fully any such payments in violation of the laws of any relevant jurisdiction to (i) obtain favorable treatment in obtaining or retaining business for it or any of its Affiliates, (ii) pay for favorable treatment for business secured, (iii) obtain special concessions (or to pay for special concessions already obtained), for or in respect of it or any of its Affiliates, in each case which would have been in violation of any applicable Law, (iv) influence an act or decision of the recipient (including a decision not to act) in connection with the Person’s or its Affiliate’s business, (v) induce the recipient to use his or her influence to affect any government act or decision in connection with the Person’s or its Affiliate’s business or (vi) induce the recipient to violate his or her duty of loyalty to his or her organization, or as a reward for having done so; (b) engaging in any transactions, establishing or maintaining any fund or assets in which it or any of its Affiliates shall have proprietary rights that have not been recorded in the books and records of it or any of its Affiliates; (c) making any unlawful payment to any agent, employee, officer or director of any Person with which it or any of its Affiliates does business for the purpose of influencing such agent, employee, officer or director to do business with it or any of its Affiliates;</w:t>
      </w:r>
    </w:p>
    <w:p>
      <w:pPr>
        <w:spacing w:after="0" w:line="1" w:lineRule="exact"/>
        <w:rPr>
          <w:sz w:val="20"/>
          <w:szCs w:val="20"/>
          <w:color w:val="auto"/>
        </w:rPr>
      </w:pPr>
    </w:p>
    <w:p>
      <w:pPr>
        <w:jc w:val="both"/>
        <w:ind w:firstLine="8"/>
        <w:spacing w:after="0"/>
        <w:tabs>
          <w:tab w:leader="none" w:pos="280" w:val="left"/>
        </w:tabs>
        <w:numPr>
          <w:ilvl w:val="0"/>
          <w:numId w:val="83"/>
        </w:numPr>
        <w:rPr>
          <w:rFonts w:ascii="Arial" w:cs="Arial" w:eastAsia="Arial" w:hAnsi="Arial"/>
          <w:sz w:val="20"/>
          <w:szCs w:val="20"/>
          <w:color w:val="auto"/>
        </w:rPr>
      </w:pPr>
      <w:r>
        <w:rPr>
          <w:rFonts w:ascii="Arial" w:cs="Arial" w:eastAsia="Arial" w:hAnsi="Arial"/>
          <w:sz w:val="20"/>
          <w:szCs w:val="20"/>
          <w:color w:val="auto"/>
        </w:rPr>
        <w:t>violating any provision of applicable Anti-Corruption Laws; (e) making any payment in the nature of bribery, fraud, or any other unlawful payment under the Law of any jurisdiction where it or any of its Affiliates conducts business or is registered; or (f) if such Person or any of its Representatives is a Government Official, improperly using his or her position as a Government Official to influence the award of business or regulatory approvals to or for the benefit of such Person, its Representatives or any of their business operations, or failing to recuse himself or herself from any participation as a Government Official in decisions relating to such Person, its Representatives or any of their business operations.</w:t>
      </w:r>
    </w:p>
    <w:p>
      <w:pPr>
        <w:spacing w:after="0" w:line="19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1.81 “</w:t>
      </w:r>
      <w:r>
        <w:rPr>
          <w:rFonts w:ascii="Arial" w:cs="Arial" w:eastAsia="Arial" w:hAnsi="Arial"/>
          <w:sz w:val="20"/>
          <w:szCs w:val="20"/>
          <w:b w:val="1"/>
          <w:bCs w:val="1"/>
          <w:color w:val="auto"/>
        </w:rPr>
        <w:t>Prosecute</w:t>
      </w:r>
      <w:r>
        <w:rPr>
          <w:rFonts w:ascii="Arial" w:cs="Arial" w:eastAsia="Arial" w:hAnsi="Arial"/>
          <w:sz w:val="20"/>
          <w:szCs w:val="20"/>
          <w:color w:val="auto"/>
        </w:rPr>
        <w:t>” means, with respect to any Patent Rights or other registrable intellectual property rights, to prepare, file, prosecute, and defend (but, for clarity, not enforce) such Patent Rights or other registrable intellectual property rights. “</w:t>
      </w:r>
      <w:r>
        <w:rPr>
          <w:rFonts w:ascii="Arial" w:cs="Arial" w:eastAsia="Arial" w:hAnsi="Arial"/>
          <w:sz w:val="20"/>
          <w:szCs w:val="20"/>
          <w:b w:val="1"/>
          <w:bCs w:val="1"/>
          <w:color w:val="auto"/>
        </w:rPr>
        <w:t>Prosecution</w:t>
      </w:r>
      <w:r>
        <w:rPr>
          <w:rFonts w:ascii="Arial" w:cs="Arial" w:eastAsia="Arial" w:hAnsi="Arial"/>
          <w:sz w:val="20"/>
          <w:szCs w:val="20"/>
          <w:color w:val="auto"/>
        </w:rPr>
        <w:t>” has a corresponding meaning.</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1.82</w:t>
            </w:r>
          </w:p>
        </w:tc>
        <w:tc>
          <w:tcPr>
            <w:tcW w:w="970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Receiving Party</w:t>
            </w:r>
            <w:r>
              <w:rPr>
                <w:rFonts w:ascii="Arial" w:cs="Arial" w:eastAsia="Arial" w:hAnsi="Arial"/>
                <w:sz w:val="20"/>
                <w:szCs w:val="20"/>
                <w:color w:val="auto"/>
              </w:rPr>
              <w:t>” has the meaning set forth in Section 10.1.1.</w:t>
            </w:r>
          </w:p>
        </w:tc>
      </w:tr>
      <w:tr>
        <w:trPr>
          <w:trHeight w:val="441"/>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1.83</w:t>
            </w:r>
          </w:p>
        </w:tc>
        <w:tc>
          <w:tcPr>
            <w:tcW w:w="9700" w:type="dxa"/>
            <w:vAlign w:val="bottom"/>
          </w:tcPr>
          <w:p>
            <w:pPr>
              <w:ind w:left="32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color w:val="auto"/>
                <w:w w:val="90"/>
              </w:rPr>
              <w:t>Regulatory Approval</w:t>
            </w:r>
            <w:r>
              <w:rPr>
                <w:rFonts w:ascii="Arial" w:cs="Arial" w:eastAsia="Arial" w:hAnsi="Arial"/>
                <w:sz w:val="20"/>
                <w:szCs w:val="20"/>
                <w:color w:val="auto"/>
                <w:w w:val="90"/>
              </w:rPr>
              <w:t>” means, with respect to a Product in a country or region in the Territory, all approvals granted</w:t>
            </w:r>
          </w:p>
        </w:tc>
      </w:tr>
    </w:tbl>
    <w:p>
      <w:pPr>
        <w:jc w:val="both"/>
        <w:spacing w:after="0" w:line="241" w:lineRule="auto"/>
        <w:rPr>
          <w:sz w:val="20"/>
          <w:szCs w:val="20"/>
          <w:color w:val="auto"/>
        </w:rPr>
      </w:pPr>
      <w:r>
        <w:rPr>
          <w:rFonts w:ascii="Arial" w:cs="Arial" w:eastAsia="Arial" w:hAnsi="Arial"/>
          <w:sz w:val="20"/>
          <w:szCs w:val="20"/>
          <w:color w:val="auto"/>
        </w:rPr>
        <w:t>by a Regulatory Authority or other regulatory agency in such country or region that are necessary for the commercial sale of such Product for use in such country or region in the Territory, excluding any pricing and reimbursement approvals except to the extent required by applicable Law to sell the Product in such country or region.</w:t>
      </w:r>
    </w:p>
    <w:p>
      <w:pPr>
        <w:spacing w:after="0" w:line="190"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1.84 “</w:t>
      </w:r>
      <w:r>
        <w:rPr>
          <w:rFonts w:ascii="Arial" w:cs="Arial" w:eastAsia="Arial" w:hAnsi="Arial"/>
          <w:sz w:val="20"/>
          <w:szCs w:val="20"/>
          <w:b w:val="1"/>
          <w:bCs w:val="1"/>
          <w:color w:val="auto"/>
        </w:rPr>
        <w:t>Regulatory Authority</w:t>
      </w:r>
      <w:r>
        <w:rPr>
          <w:rFonts w:ascii="Arial" w:cs="Arial" w:eastAsia="Arial" w:hAnsi="Arial"/>
          <w:sz w:val="20"/>
          <w:szCs w:val="20"/>
          <w:color w:val="auto"/>
        </w:rPr>
        <w:t>” means any applicable Governmental Authority responsible for granting Regulatory Approvals for a Product, including FDA, NMPA, and any corresponding national or regional regulatory authorities.</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1.85 “</w:t>
      </w:r>
      <w:r>
        <w:rPr>
          <w:rFonts w:ascii="Arial" w:cs="Arial" w:eastAsia="Arial" w:hAnsi="Arial"/>
          <w:sz w:val="20"/>
          <w:szCs w:val="20"/>
          <w:b w:val="1"/>
          <w:bCs w:val="1"/>
          <w:color w:val="auto"/>
        </w:rPr>
        <w:t>Regulatory Exclusivity</w:t>
      </w:r>
      <w:r>
        <w:rPr>
          <w:rFonts w:ascii="Arial" w:cs="Arial" w:eastAsia="Arial" w:hAnsi="Arial"/>
          <w:sz w:val="20"/>
          <w:szCs w:val="20"/>
          <w:color w:val="auto"/>
        </w:rPr>
        <w:t>” means, with respect to a Product, any exclusive marketing rights or data exclusivity rights conferred by the applicable Regulatory Authority with respect to such Product (that would satisfy the requirements of Sections 505(b)(1) or 505(b)(2) of the FDCA or its non-U.S. equivalents) other than a Patent Right.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8" w:lineRule="exact"/>
        <w:rPr>
          <w:sz w:val="20"/>
          <w:szCs w:val="20"/>
          <w:color w:val="auto"/>
        </w:rPr>
      </w:pPr>
    </w:p>
    <w:p>
      <w:pPr>
        <w:ind w:right="20" w:firstLine="8"/>
        <w:spacing w:after="0" w:line="258" w:lineRule="auto"/>
        <w:tabs>
          <w:tab w:leader="none" w:pos="2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jc w:val="both"/>
        <w:ind w:firstLine="864"/>
        <w:spacing w:after="0" w:line="274" w:lineRule="auto"/>
        <w:rPr>
          <w:sz w:val="20"/>
          <w:szCs w:val="20"/>
          <w:color w:val="auto"/>
        </w:rPr>
      </w:pPr>
      <w:r>
        <w:rPr>
          <w:rFonts w:ascii="Arial" w:cs="Arial" w:eastAsia="Arial" w:hAnsi="Arial"/>
          <w:sz w:val="18"/>
          <w:szCs w:val="18"/>
          <w:color w:val="auto"/>
        </w:rPr>
        <w:t>1.86 “</w:t>
      </w:r>
      <w:r>
        <w:rPr>
          <w:rFonts w:ascii="Arial" w:cs="Arial" w:eastAsia="Arial" w:hAnsi="Arial"/>
          <w:sz w:val="18"/>
          <w:szCs w:val="18"/>
          <w:b w:val="1"/>
          <w:bCs w:val="1"/>
          <w:color w:val="auto"/>
        </w:rPr>
        <w:t>Regulatory Filing</w:t>
      </w:r>
      <w:r>
        <w:rPr>
          <w:rFonts w:ascii="Arial" w:cs="Arial" w:eastAsia="Arial" w:hAnsi="Arial"/>
          <w:sz w:val="18"/>
          <w:szCs w:val="18"/>
          <w:color w:val="auto"/>
        </w:rPr>
        <w:t>” means all (a) submissions, non-administrative correspondence, notifications, registrations, licenses, authorizations, applications and other filings with any Governmental Authority with respect to the research, clinical investigation, development, manufacture, distribution, pricing, reimbursement, marketing or sale of a Product, (b) Regulatory Approvals for a Product, and</w:t>
      </w:r>
    </w:p>
    <w:p>
      <w:pPr>
        <w:spacing w:after="0" w:line="2" w:lineRule="exact"/>
        <w:rPr>
          <w:sz w:val="20"/>
          <w:szCs w:val="20"/>
          <w:color w:val="auto"/>
        </w:rPr>
      </w:pPr>
    </w:p>
    <w:p>
      <w:pPr>
        <w:ind w:right="20" w:firstLine="8"/>
        <w:spacing w:after="0" w:line="269" w:lineRule="auto"/>
        <w:tabs>
          <w:tab w:leader="none" w:pos="279" w:val="left"/>
        </w:tabs>
        <w:numPr>
          <w:ilvl w:val="0"/>
          <w:numId w:val="85"/>
        </w:numPr>
        <w:rPr>
          <w:rFonts w:ascii="Arial" w:cs="Arial" w:eastAsia="Arial" w:hAnsi="Arial"/>
          <w:sz w:val="19"/>
          <w:szCs w:val="19"/>
          <w:color w:val="auto"/>
        </w:rPr>
      </w:pPr>
      <w:r>
        <w:rPr>
          <w:rFonts w:ascii="Arial" w:cs="Arial" w:eastAsia="Arial" w:hAnsi="Arial"/>
          <w:sz w:val="19"/>
          <w:szCs w:val="19"/>
          <w:color w:val="auto"/>
        </w:rPr>
        <w:t>approvals granted by a Regulatory Authority or other regulatory agency in a country or region in the Territory that are necessary for the manufacture, storage, import, marketing and distribution of a Product for use in such country or region in the Territory.</w:t>
      </w:r>
    </w:p>
    <w:p>
      <w:pPr>
        <w:spacing w:after="0" w:line="16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Release</w:t>
      </w:r>
      <w:r>
        <w:rPr>
          <w:rFonts w:ascii="Arial" w:cs="Arial" w:eastAsia="Arial" w:hAnsi="Arial"/>
          <w:sz w:val="16"/>
          <w:szCs w:val="16"/>
          <w:color w:val="auto"/>
        </w:rPr>
        <w:t>” has the meaning set forth in Section 10.2.2.</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1.88 “</w:t>
      </w:r>
      <w:r>
        <w:rPr>
          <w:rFonts w:ascii="Arial" w:cs="Arial" w:eastAsia="Arial" w:hAnsi="Arial"/>
          <w:sz w:val="20"/>
          <w:szCs w:val="20"/>
          <w:b w:val="1"/>
          <w:bCs w:val="1"/>
          <w:color w:val="auto"/>
        </w:rPr>
        <w:t>Representatives</w:t>
      </w:r>
      <w:r>
        <w:rPr>
          <w:rFonts w:ascii="Arial" w:cs="Arial" w:eastAsia="Arial" w:hAnsi="Arial"/>
          <w:sz w:val="20"/>
          <w:szCs w:val="20"/>
          <w:color w:val="auto"/>
        </w:rPr>
        <w:t>” means, as to any Person, such Person’s Affiliates and its and their successors, controlling Persons, directors, officers and employees.</w:t>
      </w:r>
    </w:p>
    <w:p>
      <w:pPr>
        <w:spacing w:after="0" w:line="163"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1.89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Reviewing Party</w:t>
      </w:r>
      <w:r>
        <w:rPr>
          <w:rFonts w:ascii="Arial" w:cs="Arial" w:eastAsia="Arial" w:hAnsi="Arial"/>
          <w:sz w:val="18"/>
          <w:szCs w:val="18"/>
          <w:color w:val="auto"/>
        </w:rPr>
        <w:t>” has the meaning set forth in Section 10.2.2.</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1.90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rhCIII</w:t>
      </w:r>
      <w:r>
        <w:rPr>
          <w:rFonts w:ascii="Arial" w:cs="Arial" w:eastAsia="Arial" w:hAnsi="Arial"/>
          <w:sz w:val="18"/>
          <w:szCs w:val="18"/>
          <w:color w:val="auto"/>
        </w:rPr>
        <w:t>” means the recombinant type 3 human collagen.</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means the [*] Product Royalty Term or the [*] Product Royalty Term, as applicable.</w:t>
      </w:r>
    </w:p>
    <w:p>
      <w:pPr>
        <w:spacing w:after="0" w:line="21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Selling Party</w:t>
      </w:r>
      <w:r>
        <w:rPr>
          <w:rFonts w:ascii="Arial" w:cs="Arial" w:eastAsia="Arial" w:hAnsi="Arial"/>
          <w:sz w:val="18"/>
          <w:szCs w:val="18"/>
          <w:color w:val="auto"/>
        </w:rPr>
        <w:t>” has the meaning set forth in Section 1.70.</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1.93 “</w:t>
      </w:r>
      <w:r>
        <w:rPr>
          <w:rFonts w:ascii="Arial" w:cs="Arial" w:eastAsia="Arial" w:hAnsi="Arial"/>
          <w:sz w:val="20"/>
          <w:szCs w:val="20"/>
          <w:b w:val="1"/>
          <w:bCs w:val="1"/>
          <w:color w:val="auto"/>
        </w:rPr>
        <w:t>Sublicensee(s)</w:t>
      </w:r>
      <w:r>
        <w:rPr>
          <w:rFonts w:ascii="Arial" w:cs="Arial" w:eastAsia="Arial" w:hAnsi="Arial"/>
          <w:sz w:val="20"/>
          <w:szCs w:val="20"/>
          <w:color w:val="auto"/>
        </w:rPr>
        <w:t>” means any Person other than an Affiliate of ELUMINEX to whom ELUMINEX has granted a sublicense under the rights granted to ELUMINEX under Section 2.2.</w:t>
      </w:r>
    </w:p>
    <w:p>
      <w:pPr>
        <w:spacing w:after="0" w:line="16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1.94 “</w:t>
      </w:r>
      <w:r>
        <w:rPr>
          <w:rFonts w:ascii="Arial" w:cs="Arial" w:eastAsia="Arial" w:hAnsi="Arial"/>
          <w:sz w:val="19"/>
          <w:szCs w:val="19"/>
          <w:b w:val="1"/>
          <w:bCs w:val="1"/>
          <w:color w:val="auto"/>
        </w:rPr>
        <w:t>Tax</w:t>
      </w:r>
      <w:r>
        <w:rPr>
          <w:rFonts w:ascii="Arial" w:cs="Arial" w:eastAsia="Arial" w:hAnsi="Arial"/>
          <w:sz w:val="19"/>
          <w:szCs w:val="19"/>
          <w:color w:val="auto"/>
        </w:rPr>
        <w:t>” or “</w:t>
      </w:r>
      <w:r>
        <w:rPr>
          <w:rFonts w:ascii="Arial" w:cs="Arial" w:eastAsia="Arial" w:hAnsi="Arial"/>
          <w:sz w:val="19"/>
          <w:szCs w:val="19"/>
          <w:b w:val="1"/>
          <w:bCs w:val="1"/>
          <w:color w:val="auto"/>
        </w:rPr>
        <w:t>Taxes</w:t>
      </w:r>
      <w:r>
        <w:rPr>
          <w:rFonts w:ascii="Arial" w:cs="Arial" w:eastAsia="Arial" w:hAnsi="Arial"/>
          <w:sz w:val="19"/>
          <w:szCs w:val="19"/>
          <w:color w:val="auto"/>
        </w:rPr>
        <w:t>” means any form of tax or taxation, levy, duty, charge, social security charge, contribution or withholding of whatever nature (including any related fine, penalty, surcharge or interest) imposed by, or payable to, any government, state or municipality, or any local, state, federal or other fiscal, revenue, customs, or excise authority, body or official in the Territory.</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1.95</w:t>
            </w:r>
          </w:p>
        </w:tc>
        <w:tc>
          <w:tcPr>
            <w:tcW w:w="968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w:t>
            </w:r>
            <w:r>
              <w:rPr>
                <w:rFonts w:ascii="Arial" w:cs="Arial" w:eastAsia="Arial" w:hAnsi="Arial"/>
                <w:sz w:val="20"/>
                <w:szCs w:val="20"/>
                <w:color w:val="auto"/>
              </w:rPr>
              <w:t>” has the meaning set forth in Section 11.1.</w:t>
            </w:r>
          </w:p>
        </w:tc>
      </w:tr>
      <w:tr>
        <w:trPr>
          <w:trHeight w:val="445"/>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1.96</w:t>
            </w:r>
          </w:p>
        </w:tc>
        <w:tc>
          <w:tcPr>
            <w:tcW w:w="968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Territory</w:t>
            </w:r>
            <w:r>
              <w:rPr>
                <w:rFonts w:ascii="Arial" w:cs="Arial" w:eastAsia="Arial" w:hAnsi="Arial"/>
                <w:sz w:val="20"/>
                <w:szCs w:val="20"/>
                <w:color w:val="auto"/>
              </w:rPr>
              <w:t>” means the entire world.</w:t>
            </w:r>
          </w:p>
        </w:tc>
      </w:tr>
      <w:tr>
        <w:trPr>
          <w:trHeight w:val="445"/>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1.97</w:t>
            </w:r>
          </w:p>
        </w:tc>
        <w:tc>
          <w:tcPr>
            <w:tcW w:w="968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Party</w:t>
            </w:r>
            <w:r>
              <w:rPr>
                <w:rFonts w:ascii="Arial" w:cs="Arial" w:eastAsia="Arial" w:hAnsi="Arial"/>
                <w:sz w:val="20"/>
                <w:szCs w:val="20"/>
                <w:color w:val="auto"/>
              </w:rPr>
              <w:t>” means a Person other than (a) FIBROGEN and (b) ELUMINEX and its Affiliates.</w:t>
            </w:r>
          </w:p>
        </w:tc>
      </w:tr>
      <w:tr>
        <w:trPr>
          <w:trHeight w:val="441"/>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1.98</w:t>
            </w:r>
          </w:p>
        </w:tc>
        <w:tc>
          <w:tcPr>
            <w:tcW w:w="9680" w:type="dxa"/>
            <w:vAlign w:val="bottom"/>
          </w:tcPr>
          <w:p>
            <w:pPr>
              <w:ind w:left="320"/>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color w:val="auto"/>
                <w:w w:val="92"/>
              </w:rPr>
              <w:t>U.S.</w:t>
            </w:r>
            <w:r>
              <w:rPr>
                <w:rFonts w:ascii="Arial" w:cs="Arial" w:eastAsia="Arial" w:hAnsi="Arial"/>
                <w:sz w:val="20"/>
                <w:szCs w:val="20"/>
                <w:color w:val="auto"/>
                <w:w w:val="92"/>
              </w:rPr>
              <w:t>” or “</w:t>
            </w:r>
            <w:r>
              <w:rPr>
                <w:rFonts w:ascii="Arial" w:cs="Arial" w:eastAsia="Arial" w:hAnsi="Arial"/>
                <w:sz w:val="20"/>
                <w:szCs w:val="20"/>
                <w:b w:val="1"/>
                <w:bCs w:val="1"/>
                <w:color w:val="auto"/>
                <w:w w:val="92"/>
              </w:rPr>
              <w:t>United States</w:t>
            </w:r>
            <w:r>
              <w:rPr>
                <w:rFonts w:ascii="Arial" w:cs="Arial" w:eastAsia="Arial" w:hAnsi="Arial"/>
                <w:sz w:val="20"/>
                <w:szCs w:val="20"/>
                <w:color w:val="auto"/>
                <w:w w:val="92"/>
              </w:rPr>
              <w:t>” means the United States of America and its possessions and territories, including Puerto</w:t>
            </w:r>
          </w:p>
        </w:tc>
      </w:tr>
    </w:tbl>
    <w:p>
      <w:pPr>
        <w:spacing w:after="0"/>
        <w:rPr>
          <w:sz w:val="20"/>
          <w:szCs w:val="20"/>
          <w:color w:val="auto"/>
        </w:rPr>
      </w:pPr>
      <w:r>
        <w:rPr>
          <w:rFonts w:ascii="Arial" w:cs="Arial" w:eastAsia="Arial" w:hAnsi="Arial"/>
          <w:sz w:val="20"/>
          <w:szCs w:val="20"/>
          <w:color w:val="auto"/>
        </w:rPr>
        <w:t>Rico.</w:t>
      </w:r>
    </w:p>
    <w:p>
      <w:pPr>
        <w:spacing w:after="0" w:line="194"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color w:val="auto"/>
        </w:rPr>
        <w:t>1.99 “</w:t>
      </w:r>
      <w:r>
        <w:rPr>
          <w:rFonts w:ascii="Arial" w:cs="Arial" w:eastAsia="Arial" w:hAnsi="Arial"/>
          <w:sz w:val="20"/>
          <w:szCs w:val="20"/>
          <w:b w:val="1"/>
          <w:bCs w:val="1"/>
          <w:color w:val="auto"/>
        </w:rPr>
        <w:t>U.S. CPI</w:t>
      </w:r>
      <w:r>
        <w:rPr>
          <w:rFonts w:ascii="Arial" w:cs="Arial" w:eastAsia="Arial" w:hAnsi="Arial"/>
          <w:sz w:val="20"/>
          <w:szCs w:val="20"/>
          <w:color w:val="auto"/>
        </w:rPr>
        <w:t>” means, the consumer price index as published by the Bureau of Labor Statistics, U.S. Department of Labor, or any replacement index if applicable.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8" w:lineRule="exact"/>
        <w:rPr>
          <w:sz w:val="20"/>
          <w:szCs w:val="20"/>
          <w:color w:val="auto"/>
        </w:rPr>
      </w:pPr>
    </w:p>
    <w:p>
      <w:pPr>
        <w:ind w:right="20" w:firstLine="8"/>
        <w:spacing w:after="0" w:line="258" w:lineRule="auto"/>
        <w:tabs>
          <w:tab w:leader="none" w:pos="2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0" w:name="page101"/>
    <w:bookmarkEnd w:id="100"/>
    <w:p>
      <w:pPr>
        <w:jc w:val="both"/>
        <w:ind w:firstLine="864"/>
        <w:spacing w:after="0" w:line="258" w:lineRule="auto"/>
        <w:rPr>
          <w:sz w:val="20"/>
          <w:szCs w:val="20"/>
          <w:color w:val="auto"/>
        </w:rPr>
      </w:pPr>
      <w:r>
        <w:rPr>
          <w:rFonts w:ascii="Arial" w:cs="Arial" w:eastAsia="Arial" w:hAnsi="Arial"/>
          <w:sz w:val="19"/>
          <w:szCs w:val="19"/>
          <w:color w:val="auto"/>
        </w:rPr>
        <w:t>1.100 “</w:t>
      </w:r>
      <w:r>
        <w:rPr>
          <w:rFonts w:ascii="Arial" w:cs="Arial" w:eastAsia="Arial" w:hAnsi="Arial"/>
          <w:sz w:val="19"/>
          <w:szCs w:val="19"/>
          <w:b w:val="1"/>
          <w:bCs w:val="1"/>
          <w:color w:val="auto"/>
        </w:rPr>
        <w:t>Valid Claim</w:t>
      </w:r>
      <w:r>
        <w:rPr>
          <w:rFonts w:ascii="Arial" w:cs="Arial" w:eastAsia="Arial" w:hAnsi="Arial"/>
          <w:sz w:val="19"/>
          <w:szCs w:val="19"/>
          <w:color w:val="auto"/>
        </w:rPr>
        <w:t xml:space="preserve">” means a claim of any issued and unexpired patent or patent application pending in good faith within the FIBROGEN Patents which has not been (a) revoked or held invalid or unenforceable by a final decision of a court or governmental agency of competent jurisdiction (and which decision can no longer be appealed or was not appealed within the time allowed), (b) held to be invalid or unenforceable through reissue, re-examination or disclaimer or otherwise, or (c) dedicated to the public, disclaimed (whether explicitly or otherwise), abandoned, or admitted in writing to be invalid or unenforceable or of a scope not Covering a particular Product;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a claim of a pending patent application within the FIBROGEN Patents shall not have issued within [*], such claim</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constitute a Valid Claim for the purposes of this Agreement unless and until such claim is included in an issued or granted patent (from and after which time the same would be deemed a Valid Claim).</w:t>
      </w:r>
    </w:p>
    <w:p>
      <w:pPr>
        <w:spacing w:after="0" w:line="17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1.101 “</w:t>
      </w:r>
      <w:r>
        <w:rPr>
          <w:rFonts w:ascii="Arial" w:cs="Arial" w:eastAsia="Arial" w:hAnsi="Arial"/>
          <w:sz w:val="20"/>
          <w:szCs w:val="20"/>
          <w:b w:val="1"/>
          <w:bCs w:val="1"/>
          <w:color w:val="auto"/>
        </w:rPr>
        <w:t>VAT</w:t>
      </w:r>
      <w:r>
        <w:rPr>
          <w:rFonts w:ascii="Arial" w:cs="Arial" w:eastAsia="Arial" w:hAnsi="Arial"/>
          <w:sz w:val="20"/>
          <w:szCs w:val="20"/>
          <w:color w:val="auto"/>
        </w:rPr>
        <w:t>” means the value added tax or any form of consumption tax levied by a relevant tax authority, as well as all other forms of consumption taxes levied by the relevant tax authority on the purchase of a good or a service, including but not limited to sales tax and good and service tax.</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LICENSE GRANTS; RESTRICTIONS</w:t>
      </w:r>
    </w:p>
    <w:p>
      <w:pPr>
        <w:spacing w:after="0" w:line="20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Exclusive License Grant to ELUMINEX</w:t>
      </w:r>
      <w:r>
        <w:rPr>
          <w:rFonts w:ascii="Arial" w:cs="Arial" w:eastAsia="Arial" w:hAnsi="Arial"/>
          <w:sz w:val="20"/>
          <w:szCs w:val="20"/>
          <w:color w:val="auto"/>
        </w:rPr>
        <w:t>. Subject to the terms and conditions of this Agreement, FIBROGEN hereby grants to ELUMINEX an exclusive (even as to FIBROGEN but subject to Section 2.3), transferrable (subject to Section 12.9), royalty-bearing, sublicensable (through multiple tiers of sublicensees in accordance with Section 2.2), license under the Licensed Technology to Exploit the Products in the Field in the Territory during the Term (the “</w:t>
      </w:r>
      <w:r>
        <w:rPr>
          <w:rFonts w:ascii="Arial" w:cs="Arial" w:eastAsia="Arial" w:hAnsi="Arial"/>
          <w:sz w:val="20"/>
          <w:szCs w:val="20"/>
          <w:b w:val="1"/>
          <w:bCs w:val="1"/>
          <w:color w:val="auto"/>
        </w:rPr>
        <w:t>License</w:t>
      </w:r>
      <w:r>
        <w:rPr>
          <w:rFonts w:ascii="Arial" w:cs="Arial" w:eastAsia="Arial" w:hAnsi="Arial"/>
          <w:sz w:val="20"/>
          <w:szCs w:val="20"/>
          <w:color w:val="auto"/>
        </w:rPr>
        <w:t>”).</w:t>
      </w:r>
    </w:p>
    <w:p>
      <w:pPr>
        <w:spacing w:after="0" w:line="19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8"/>
          <w:szCs w:val="18"/>
          <w:u w:val="single" w:color="auto"/>
          <w:color w:val="auto"/>
        </w:rPr>
        <w:t>Sublicenses</w:t>
      </w:r>
      <w:r>
        <w:rPr>
          <w:rFonts w:ascii="Arial" w:cs="Arial" w:eastAsia="Arial" w:hAnsi="Arial"/>
          <w:sz w:val="18"/>
          <w:szCs w:val="18"/>
          <w:color w:val="auto"/>
        </w:rPr>
        <w:t>. ELUMINEX shall have the right to sublicense the License (a) to [*], or (b) to [*], in each case of</w:t>
      </w:r>
    </w:p>
    <w:p>
      <w:pPr>
        <w:spacing w:after="0" w:line="16" w:lineRule="exact"/>
        <w:rPr>
          <w:sz w:val="20"/>
          <w:szCs w:val="20"/>
          <w:color w:val="auto"/>
        </w:rPr>
      </w:pPr>
    </w:p>
    <w:p>
      <w:pPr>
        <w:jc w:val="both"/>
        <w:ind w:right="20" w:firstLine="8"/>
        <w:spacing w:after="0" w:line="241" w:lineRule="auto"/>
        <w:tabs>
          <w:tab w:leader="none" w:pos="311"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and (b), without FIBROGEN’s prior written consent, provided that ELUMINEX shall provide written notice of the granting of a sublicense to FIBROGEN within [*] after entering into any such sublicense and each sublicense shall be consistent with the terms and conditions of the License.</w:t>
      </w:r>
    </w:p>
    <w:p>
      <w:pPr>
        <w:spacing w:after="0" w:line="19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ELUMINEX shall be and remain responsible for ensuring each of its Affiliates, Sublicensees or subcontractors utilized by ELUMINEX to perform certain of ELUMINEX’s obligations under this Agreement, the [*] Agreement, and the [*] to comply with the provisions of this Agreement, the [*] Agreement and the [*] applicable to such Person’s performance and shall be and remain liable for any breaches hereof or thereof by any such Affiliate, Sublicensee or subcontractor as though the same were a breach by ELUMINEX [*].</w:t>
      </w:r>
    </w:p>
    <w:p>
      <w:pPr>
        <w:spacing w:after="0" w:line="16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Section 2.3 </w:t>
      </w:r>
      <w:r>
        <w:rPr>
          <w:rFonts w:ascii="Arial" w:cs="Arial" w:eastAsia="Arial" w:hAnsi="Arial"/>
          <w:sz w:val="20"/>
          <w:szCs w:val="20"/>
          <w:u w:val="single" w:color="auto"/>
          <w:color w:val="auto"/>
        </w:rPr>
        <w:t>Retained Rights</w:t>
      </w:r>
      <w:r>
        <w:rPr>
          <w:rFonts w:ascii="Arial" w:cs="Arial" w:eastAsia="Arial" w:hAnsi="Arial"/>
          <w:sz w:val="20"/>
          <w:szCs w:val="20"/>
          <w:color w:val="auto"/>
        </w:rPr>
        <w:t>. Notwithstanding anything herein to the contrary, but subject to the last paragraph of this Section 2.3, any rights not expressly granted to ELUMINEX by FIBROGEN under this Agreement are hereby retained by FIBROGEN, including the right:</w:t>
      </w:r>
    </w:p>
    <w:p>
      <w:pPr>
        <w:spacing w:after="0" w:line="186" w:lineRule="exact"/>
        <w:rPr>
          <w:sz w:val="20"/>
          <w:szCs w:val="20"/>
          <w:color w:val="auto"/>
        </w:rPr>
      </w:pPr>
    </w:p>
    <w:p>
      <w:pPr>
        <w:ind w:left="880" w:hanging="8"/>
        <w:spacing w:after="0" w:line="260" w:lineRule="auto"/>
        <w:tabs>
          <w:tab w:leader="none" w:pos="1167" w:val="left"/>
        </w:tabs>
        <w:numPr>
          <w:ilvl w:val="0"/>
          <w:numId w:val="88"/>
        </w:numPr>
        <w:rPr>
          <w:rFonts w:ascii="Arial" w:cs="Arial" w:eastAsia="Arial" w:hAnsi="Arial"/>
          <w:sz w:val="20"/>
          <w:szCs w:val="20"/>
          <w:color w:val="auto"/>
        </w:rPr>
      </w:pPr>
      <w:r>
        <w:rPr>
          <w:rFonts w:ascii="Arial" w:cs="Arial" w:eastAsia="Arial" w:hAnsi="Arial"/>
          <w:sz w:val="20"/>
          <w:szCs w:val="20"/>
          <w:color w:val="auto"/>
        </w:rPr>
        <w:t>to exercise its rights, and perform its obligations, under this Agreement, whether directly or through one or more Affiliates, licensees or subcontractors; and</w:t>
      </w:r>
    </w:p>
    <w:p>
      <w:pPr>
        <w:spacing w:after="0" w:line="176" w:lineRule="exact"/>
        <w:rPr>
          <w:rFonts w:ascii="Arial" w:cs="Arial" w:eastAsia="Arial" w:hAnsi="Arial"/>
          <w:sz w:val="20"/>
          <w:szCs w:val="20"/>
          <w:color w:val="auto"/>
        </w:rPr>
      </w:pPr>
    </w:p>
    <w:p>
      <w:pPr>
        <w:ind w:left="880" w:hanging="8"/>
        <w:spacing w:after="0" w:line="260" w:lineRule="auto"/>
        <w:tabs>
          <w:tab w:leader="none" w:pos="1179" w:val="left"/>
        </w:tabs>
        <w:numPr>
          <w:ilvl w:val="0"/>
          <w:numId w:val="88"/>
        </w:numPr>
        <w:rPr>
          <w:rFonts w:ascii="Arial" w:cs="Arial" w:eastAsia="Arial" w:hAnsi="Arial"/>
          <w:sz w:val="20"/>
          <w:szCs w:val="20"/>
          <w:color w:val="auto"/>
        </w:rPr>
      </w:pPr>
      <w:r>
        <w:rPr>
          <w:rFonts w:ascii="Arial" w:cs="Arial" w:eastAsia="Arial" w:hAnsi="Arial"/>
          <w:sz w:val="20"/>
          <w:szCs w:val="20"/>
          <w:color w:val="auto"/>
        </w:rPr>
        <w:t>to make and have made (itself or through its Affiliates and licensees) the Product in accordance with Article 7 and the [*]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8" w:lineRule="exact"/>
        <w:rPr>
          <w:sz w:val="20"/>
          <w:szCs w:val="20"/>
          <w:color w:val="auto"/>
        </w:rPr>
      </w:pPr>
    </w:p>
    <w:p>
      <w:pPr>
        <w:ind w:right="20" w:firstLine="8"/>
        <w:spacing w:after="0" w:line="258" w:lineRule="auto"/>
        <w:tabs>
          <w:tab w:leader="none" w:pos="2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jc w:val="both"/>
        <w:ind w:firstLine="864"/>
        <w:spacing w:after="0" w:line="278" w:lineRule="auto"/>
        <w:rPr>
          <w:sz w:val="20"/>
          <w:szCs w:val="20"/>
          <w:color w:val="auto"/>
        </w:rPr>
      </w:pPr>
      <w:r>
        <w:rPr>
          <w:rFonts w:ascii="Arial" w:cs="Arial" w:eastAsia="Arial" w:hAnsi="Arial"/>
          <w:sz w:val="18"/>
          <w:szCs w:val="18"/>
          <w:color w:val="auto"/>
        </w:rPr>
        <w:t>FIBROGEN shall be and remain responsible for ensuring each of its licensees (other than ELUMINEX) or subcontractors utilized by FIBROGEN to perform certain of FIBROGEN’s obligations under this Agreement, the [*] Agreement and the [*] to comply with the provisions of this Agreement, the [*] Agreement and the [*] applicable to such Person’s performance and shall be and remain liable for any breaches hereof or thereof by any such licensee or subcontractor as though the same were a breach by FIBROGEN, and ELUMINEX shall have the right to proceed directly against FIBROGEN without any obligation to first proceed against FIBROGEN’s licensee or subcontractor.</w:t>
      </w:r>
    </w:p>
    <w:p>
      <w:pPr>
        <w:spacing w:after="0" w:line="16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Limited Grant</w:t>
      </w:r>
      <w:r>
        <w:rPr>
          <w:rFonts w:ascii="Arial" w:cs="Arial" w:eastAsia="Arial" w:hAnsi="Arial"/>
          <w:sz w:val="20"/>
          <w:szCs w:val="20"/>
          <w:color w:val="auto"/>
        </w:rPr>
        <w:t xml:space="preserve">. ELUMINEX acknowledges that the rights and licenses granted under this </w:t>
      </w:r>
      <w:r>
        <w:rPr>
          <w:rFonts w:ascii="Arial" w:cs="Arial" w:eastAsia="Arial" w:hAnsi="Arial"/>
          <w:sz w:val="20"/>
          <w:szCs w:val="20"/>
          <w:u w:val="single" w:color="auto"/>
          <w:color w:val="auto"/>
        </w:rPr>
        <w:t>Article 2</w:t>
      </w:r>
      <w:r>
        <w:rPr>
          <w:rFonts w:ascii="Arial" w:cs="Arial" w:eastAsia="Arial" w:hAnsi="Arial"/>
          <w:sz w:val="20"/>
          <w:szCs w:val="20"/>
          <w:color w:val="auto"/>
        </w:rPr>
        <w:t xml:space="preserve"> and elsewhere in this Agreement are limited to the scope expressly granted.</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2.5 </w:t>
      </w:r>
      <w:r>
        <w:rPr>
          <w:rFonts w:ascii="Arial" w:cs="Arial" w:eastAsia="Arial" w:hAnsi="Arial"/>
          <w:sz w:val="20"/>
          <w:szCs w:val="20"/>
          <w:u w:val="single" w:color="auto"/>
          <w:color w:val="auto"/>
        </w:rPr>
        <w:t>Non-Compete.</w:t>
      </w:r>
      <w:r>
        <w:rPr>
          <w:rFonts w:ascii="Arial" w:cs="Arial" w:eastAsia="Arial" w:hAnsi="Arial"/>
          <w:sz w:val="20"/>
          <w:szCs w:val="20"/>
          <w:color w:val="auto"/>
        </w:rPr>
        <w:t xml:space="preserve"> [*], neither Party would, directly or indirectly (by itself or with or through an Affiliate or a Third Party) Exploit any Competitive Product in the Territory, other than, in the case of ELUMINEX, the Products, or, in the case of FIBROGEN, the Products for the sole purpose of assisting ELUMINEX’s Exploitation of the Products as contemplated under this Agreement or the [*]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FEES, ROYALTIES AND PAYMENTS</w:t>
      </w:r>
    </w:p>
    <w:p>
      <w:pPr>
        <w:spacing w:after="0" w:line="200"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 xml:space="preserve">Section 3.1 </w:t>
      </w:r>
      <w:r>
        <w:rPr>
          <w:rFonts w:ascii="Arial" w:cs="Arial" w:eastAsia="Arial" w:hAnsi="Arial"/>
          <w:sz w:val="20"/>
          <w:szCs w:val="20"/>
          <w:u w:val="single" w:color="auto"/>
          <w:color w:val="auto"/>
        </w:rPr>
        <w:t>Upfront Payment</w:t>
      </w:r>
      <w:r>
        <w:rPr>
          <w:rFonts w:ascii="Arial" w:cs="Arial" w:eastAsia="Arial" w:hAnsi="Arial"/>
          <w:sz w:val="20"/>
          <w:szCs w:val="20"/>
          <w:color w:val="auto"/>
        </w:rPr>
        <w:t>. In partial consideration of the rights granted herein to ELUMINEX, ELUMINEX shall pay to FIBROGEN a one-time, non-refundable, non-creditable payment of eight million U.S. dollars ($8,000,000) [*].</w:t>
      </w:r>
    </w:p>
    <w:p>
      <w:pPr>
        <w:spacing w:after="0" w:line="17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Development Milestones</w:t>
      </w:r>
      <w:r>
        <w:rPr>
          <w:rFonts w:ascii="Arial" w:cs="Arial" w:eastAsia="Arial" w:hAnsi="Arial"/>
          <w:sz w:val="18"/>
          <w:szCs w:val="18"/>
          <w:color w:val="auto"/>
        </w:rPr>
        <w:t>. In partial consideration of the rights granted herein to ELUMINEX, ELUMINEX shall pay to FIBROGEN certain development milestone payments (“</w:t>
      </w:r>
      <w:r>
        <w:rPr>
          <w:rFonts w:ascii="Arial" w:cs="Arial" w:eastAsia="Arial" w:hAnsi="Arial"/>
          <w:sz w:val="18"/>
          <w:szCs w:val="18"/>
          <w:b w:val="1"/>
          <w:bCs w:val="1"/>
          <w:color w:val="auto"/>
        </w:rPr>
        <w:t>Development Milestone Payments</w:t>
      </w:r>
      <w:r>
        <w:rPr>
          <w:rFonts w:ascii="Arial" w:cs="Arial" w:eastAsia="Arial" w:hAnsi="Arial"/>
          <w:sz w:val="18"/>
          <w:szCs w:val="18"/>
          <w:color w:val="auto"/>
        </w:rPr>
        <w:t>”) related to the Cornea Product in accordance with this Section 3.2. Following the first occurrence by or on behalf of ELUMINEX, its Affiliates or Sublicensee(s) of each milestone event with respect to the Cornea Product set forth in the table below (the “</w:t>
      </w:r>
      <w:r>
        <w:rPr>
          <w:rFonts w:ascii="Arial" w:cs="Arial" w:eastAsia="Arial" w:hAnsi="Arial"/>
          <w:sz w:val="18"/>
          <w:szCs w:val="18"/>
          <w:b w:val="1"/>
          <w:bCs w:val="1"/>
          <w:color w:val="auto"/>
        </w:rPr>
        <w:t>Development Milestone Events</w:t>
      </w:r>
      <w:r>
        <w:rPr>
          <w:rFonts w:ascii="Arial" w:cs="Arial" w:eastAsia="Arial" w:hAnsi="Arial"/>
          <w:sz w:val="18"/>
          <w:szCs w:val="18"/>
          <w:color w:val="auto"/>
        </w:rPr>
        <w:t>”), ELUMINEX shall provide notice to FIBROGEN [*], and FIBROGEN shall invoice ELUMINEX for the applicable Development Milestone Payment in accordance with the notice. Within [*] following ELUMINEX’s receipt of such invoice, ELUMINEX shall pay such Development Milestone Payment to FIBROGEN. For clarity, (a) each Development Milestone Payment is payable only once, (b) no Development Milestone Payment shall be payable for subsequent or repeated achievements of a Development Milestone Event with respect to one or more of the same or different Cornea Products. Each of the Development Milestone Payments shall be non-refundable and non-creditable. The Development Milestone Events and Development Milestone Payments shall be as follows (all amounts in U.S. Dollars):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0" w:type="dxa"/>
            <w:vAlign w:val="bottom"/>
            <w:tcBorders>
              <w:top w:val="single" w:sz="8" w:color="auto"/>
              <w:left w:val="single" w:sz="8" w:color="auto"/>
              <w:bottom w:val="single" w:sz="8" w:color="auto"/>
              <w:right w:val="single" w:sz="8" w:color="auto"/>
            </w:tcBorders>
            <w:shd w:val="clear" w:color="auto" w:fill="D9D9D9"/>
          </w:tcPr>
          <w:p>
            <w:pPr>
              <w:spacing w:after="0"/>
              <w:rPr>
                <w:sz w:val="21"/>
                <w:szCs w:val="21"/>
                <w:color w:val="auto"/>
              </w:rPr>
            </w:pPr>
          </w:p>
        </w:tc>
        <w:tc>
          <w:tcPr>
            <w:tcW w:w="7400" w:type="dxa"/>
            <w:vAlign w:val="bottom"/>
            <w:tcBorders>
              <w:top w:val="single" w:sz="8" w:color="auto"/>
              <w:bottom w:val="single" w:sz="8" w:color="auto"/>
              <w:right w:val="single" w:sz="8" w:color="auto"/>
            </w:tcBorders>
            <w:shd w:val="clear" w:color="auto" w:fill="D9D9D9"/>
          </w:tcPr>
          <w:p>
            <w:pPr>
              <w:jc w:val="right"/>
              <w:ind w:right="3201"/>
              <w:spacing w:after="0"/>
              <w:rPr>
                <w:sz w:val="20"/>
                <w:szCs w:val="20"/>
                <w:color w:val="auto"/>
              </w:rPr>
            </w:pPr>
            <w:r>
              <w:rPr>
                <w:rFonts w:ascii="Arial" w:cs="Arial" w:eastAsia="Arial" w:hAnsi="Arial"/>
                <w:sz w:val="20"/>
                <w:szCs w:val="20"/>
                <w:b w:val="1"/>
                <w:bCs w:val="1"/>
                <w:color w:val="auto"/>
              </w:rPr>
              <w:t>Milestone</w:t>
            </w:r>
          </w:p>
        </w:tc>
        <w:tc>
          <w:tcPr>
            <w:tcW w:w="31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Payment</w:t>
            </w:r>
          </w:p>
        </w:tc>
      </w:tr>
      <w:tr>
        <w:trPr>
          <w:trHeight w:val="223"/>
        </w:trPr>
        <w:tc>
          <w:tcPr>
            <w:tcW w:w="560" w:type="dxa"/>
            <w:vAlign w:val="bottom"/>
            <w:tcBorders>
              <w:left w:val="single" w:sz="8" w:color="auto"/>
              <w:bottom w:val="single" w:sz="8" w:color="auto"/>
              <w:right w:val="single" w:sz="8" w:color="auto"/>
            </w:tcBorders>
          </w:tcPr>
          <w:p>
            <w:pPr>
              <w:jc w:val="right"/>
              <w:ind w:right="241"/>
              <w:spacing w:after="0" w:line="223" w:lineRule="exact"/>
              <w:rPr>
                <w:sz w:val="20"/>
                <w:szCs w:val="20"/>
                <w:color w:val="auto"/>
              </w:rPr>
            </w:pPr>
            <w:r>
              <w:rPr>
                <w:rFonts w:ascii="Arial" w:cs="Arial" w:eastAsia="Arial" w:hAnsi="Arial"/>
                <w:sz w:val="20"/>
                <w:szCs w:val="20"/>
                <w:color w:val="auto"/>
              </w:rPr>
              <w:t>1</w:t>
            </w:r>
          </w:p>
        </w:tc>
        <w:tc>
          <w:tcPr>
            <w:tcW w:w="7400" w:type="dxa"/>
            <w:vAlign w:val="bottom"/>
            <w:tcBorders>
              <w:bottom w:val="single" w:sz="8" w:color="auto"/>
              <w:right w:val="single" w:sz="8" w:color="auto"/>
            </w:tcBorders>
          </w:tcPr>
          <w:p>
            <w:pPr>
              <w:jc w:val="right"/>
              <w:ind w:right="6981"/>
              <w:spacing w:after="0" w:line="223" w:lineRule="exact"/>
              <w:rPr>
                <w:sz w:val="20"/>
                <w:szCs w:val="20"/>
                <w:color w:val="auto"/>
              </w:rPr>
            </w:pPr>
            <w:r>
              <w:rPr>
                <w:rFonts w:ascii="Arial" w:cs="Arial" w:eastAsia="Arial" w:hAnsi="Arial"/>
                <w:sz w:val="20"/>
                <w:szCs w:val="20"/>
                <w:color w:val="auto"/>
              </w:rPr>
              <w:t>[*]</w:t>
            </w:r>
          </w:p>
        </w:tc>
        <w:tc>
          <w:tcPr>
            <w:tcW w:w="31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60" w:type="dxa"/>
            <w:vAlign w:val="bottom"/>
            <w:tcBorders>
              <w:left w:val="single" w:sz="8" w:color="auto"/>
              <w:bottom w:val="single" w:sz="8" w:color="auto"/>
              <w:right w:val="single" w:sz="8" w:color="auto"/>
            </w:tcBorders>
          </w:tcPr>
          <w:p>
            <w:pPr>
              <w:jc w:val="right"/>
              <w:ind w:right="241"/>
              <w:spacing w:after="0" w:line="223" w:lineRule="exact"/>
              <w:rPr>
                <w:sz w:val="20"/>
                <w:szCs w:val="20"/>
                <w:color w:val="auto"/>
              </w:rPr>
            </w:pPr>
            <w:r>
              <w:rPr>
                <w:rFonts w:ascii="Arial" w:cs="Arial" w:eastAsia="Arial" w:hAnsi="Arial"/>
                <w:sz w:val="20"/>
                <w:szCs w:val="20"/>
                <w:color w:val="auto"/>
              </w:rPr>
              <w:t>2</w:t>
            </w:r>
          </w:p>
        </w:tc>
        <w:tc>
          <w:tcPr>
            <w:tcW w:w="7400" w:type="dxa"/>
            <w:vAlign w:val="bottom"/>
            <w:tcBorders>
              <w:bottom w:val="single" w:sz="8" w:color="auto"/>
              <w:right w:val="single" w:sz="8" w:color="auto"/>
            </w:tcBorders>
          </w:tcPr>
          <w:p>
            <w:pPr>
              <w:jc w:val="right"/>
              <w:ind w:right="6981"/>
              <w:spacing w:after="0" w:line="223" w:lineRule="exact"/>
              <w:rPr>
                <w:sz w:val="20"/>
                <w:szCs w:val="20"/>
                <w:color w:val="auto"/>
              </w:rPr>
            </w:pPr>
            <w:r>
              <w:rPr>
                <w:rFonts w:ascii="Arial" w:cs="Arial" w:eastAsia="Arial" w:hAnsi="Arial"/>
                <w:sz w:val="20"/>
                <w:szCs w:val="20"/>
                <w:color w:val="auto"/>
              </w:rPr>
              <w:t>[*]</w:t>
            </w:r>
          </w:p>
        </w:tc>
        <w:tc>
          <w:tcPr>
            <w:tcW w:w="31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560" w:type="dxa"/>
            <w:vAlign w:val="bottom"/>
            <w:tcBorders>
              <w:left w:val="single" w:sz="8" w:color="auto"/>
              <w:bottom w:val="single" w:sz="8" w:color="auto"/>
              <w:right w:val="single" w:sz="8" w:color="auto"/>
            </w:tcBorders>
          </w:tcPr>
          <w:p>
            <w:pPr>
              <w:jc w:val="right"/>
              <w:ind w:right="241"/>
              <w:spacing w:after="0" w:line="223" w:lineRule="exact"/>
              <w:rPr>
                <w:sz w:val="20"/>
                <w:szCs w:val="20"/>
                <w:color w:val="auto"/>
              </w:rPr>
            </w:pPr>
            <w:r>
              <w:rPr>
                <w:rFonts w:ascii="Arial" w:cs="Arial" w:eastAsia="Arial" w:hAnsi="Arial"/>
                <w:sz w:val="20"/>
                <w:szCs w:val="20"/>
                <w:color w:val="auto"/>
              </w:rPr>
              <w:t>3</w:t>
            </w:r>
          </w:p>
        </w:tc>
        <w:tc>
          <w:tcPr>
            <w:tcW w:w="7400" w:type="dxa"/>
            <w:vAlign w:val="bottom"/>
            <w:tcBorders>
              <w:bottom w:val="single" w:sz="8" w:color="auto"/>
              <w:right w:val="single" w:sz="8" w:color="auto"/>
            </w:tcBorders>
          </w:tcPr>
          <w:p>
            <w:pPr>
              <w:jc w:val="right"/>
              <w:ind w:right="6981"/>
              <w:spacing w:after="0" w:line="223" w:lineRule="exact"/>
              <w:rPr>
                <w:sz w:val="20"/>
                <w:szCs w:val="20"/>
                <w:color w:val="auto"/>
              </w:rPr>
            </w:pPr>
            <w:r>
              <w:rPr>
                <w:rFonts w:ascii="Arial" w:cs="Arial" w:eastAsia="Arial" w:hAnsi="Arial"/>
                <w:sz w:val="20"/>
                <w:szCs w:val="20"/>
                <w:color w:val="auto"/>
              </w:rPr>
              <w:t>[*]</w:t>
            </w:r>
          </w:p>
        </w:tc>
        <w:tc>
          <w:tcPr>
            <w:tcW w:w="31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44"/>
        </w:trPr>
        <w:tc>
          <w:tcPr>
            <w:tcW w:w="560" w:type="dxa"/>
            <w:vAlign w:val="bottom"/>
            <w:tcBorders>
              <w:left w:val="single" w:sz="8" w:color="auto"/>
              <w:right w:val="single" w:sz="8" w:color="auto"/>
            </w:tcBorders>
          </w:tcPr>
          <w:p>
            <w:pPr>
              <w:jc w:val="right"/>
              <w:ind w:right="241"/>
              <w:spacing w:after="0"/>
              <w:rPr>
                <w:sz w:val="20"/>
                <w:szCs w:val="20"/>
                <w:color w:val="auto"/>
              </w:rPr>
            </w:pPr>
            <w:r>
              <w:rPr>
                <w:rFonts w:ascii="Arial" w:cs="Arial" w:eastAsia="Arial" w:hAnsi="Arial"/>
                <w:sz w:val="20"/>
                <w:szCs w:val="20"/>
                <w:color w:val="auto"/>
              </w:rPr>
              <w:t>4</w:t>
            </w:r>
          </w:p>
        </w:tc>
        <w:tc>
          <w:tcPr>
            <w:tcW w:w="7400" w:type="dxa"/>
            <w:vAlign w:val="bottom"/>
            <w:tcBorders>
              <w:right w:val="single" w:sz="8" w:color="auto"/>
            </w:tcBorders>
          </w:tcPr>
          <w:p>
            <w:pPr>
              <w:jc w:val="right"/>
              <w:ind w:right="6981"/>
              <w:spacing w:after="0"/>
              <w:rPr>
                <w:sz w:val="20"/>
                <w:szCs w:val="20"/>
                <w:color w:val="auto"/>
              </w:rPr>
            </w:pPr>
            <w:r>
              <w:rPr>
                <w:rFonts w:ascii="Arial" w:cs="Arial" w:eastAsia="Arial" w:hAnsi="Arial"/>
                <w:sz w:val="20"/>
                <w:szCs w:val="20"/>
                <w:color w:val="auto"/>
              </w:rPr>
              <w:t>[*]</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28"/>
        </w:trPr>
        <w:tc>
          <w:tcPr>
            <w:tcW w:w="560" w:type="dxa"/>
            <w:vAlign w:val="bottom"/>
            <w:tcBorders>
              <w:left w:val="single" w:sz="8" w:color="auto"/>
              <w:bottom w:val="single" w:sz="8" w:color="auto"/>
              <w:right w:val="single" w:sz="8" w:color="auto"/>
            </w:tcBorders>
          </w:tcPr>
          <w:p>
            <w:pPr>
              <w:spacing w:after="0"/>
              <w:rPr>
                <w:sz w:val="11"/>
                <w:szCs w:val="11"/>
                <w:color w:val="auto"/>
              </w:rPr>
            </w:pPr>
          </w:p>
        </w:tc>
        <w:tc>
          <w:tcPr>
            <w:tcW w:w="7400" w:type="dxa"/>
            <w:vAlign w:val="bottom"/>
            <w:tcBorders>
              <w:bottom w:val="single" w:sz="8" w:color="auto"/>
              <w:right w:val="single" w:sz="8" w:color="auto"/>
            </w:tcBorders>
          </w:tcPr>
          <w:p>
            <w:pPr>
              <w:spacing w:after="0"/>
              <w:rPr>
                <w:sz w:val="11"/>
                <w:szCs w:val="11"/>
                <w:color w:val="auto"/>
              </w:rPr>
            </w:pPr>
          </w:p>
        </w:tc>
        <w:tc>
          <w:tcPr>
            <w:tcW w:w="3160" w:type="dxa"/>
            <w:vAlign w:val="bottom"/>
            <w:tcBorders>
              <w:bottom w:val="single" w:sz="8" w:color="auto"/>
              <w:right w:val="single" w:sz="8" w:color="auto"/>
            </w:tcBorders>
          </w:tcPr>
          <w:p>
            <w:pPr>
              <w:spacing w:after="0"/>
              <w:rPr>
                <w:sz w:val="11"/>
                <w:szCs w:val="1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ind w:left="880"/>
              <w:spacing w:after="0"/>
              <w:rPr>
                <w:sz w:val="20"/>
                <w:szCs w:val="20"/>
                <w:color w:val="auto"/>
              </w:rPr>
            </w:pPr>
            <w:r>
              <w:rPr>
                <w:rFonts w:ascii="Arial" w:cs="Arial" w:eastAsia="Arial" w:hAnsi="Arial"/>
                <w:sz w:val="20"/>
                <w:szCs w:val="20"/>
                <w:color w:val="auto"/>
              </w:rPr>
              <w:t>Section 3.3</w:t>
            </w:r>
          </w:p>
        </w:tc>
        <w:tc>
          <w:tcPr>
            <w:tcW w:w="1020" w:type="dxa"/>
            <w:vAlign w:val="bottom"/>
          </w:tcPr>
          <w:p>
            <w:pPr>
              <w:jc w:val="right"/>
              <w:spacing w:after="0"/>
              <w:rPr>
                <w:sz w:val="20"/>
                <w:szCs w:val="20"/>
                <w:color w:val="auto"/>
              </w:rPr>
            </w:pPr>
            <w:r>
              <w:rPr>
                <w:rFonts w:ascii="Arial" w:cs="Arial" w:eastAsia="Arial" w:hAnsi="Arial"/>
                <w:sz w:val="20"/>
                <w:szCs w:val="20"/>
                <w:color w:val="auto"/>
                <w:w w:val="89"/>
              </w:rPr>
              <w:t>Commercial</w:t>
            </w:r>
          </w:p>
        </w:tc>
        <w:tc>
          <w:tcPr>
            <w:tcW w:w="5680" w:type="dxa"/>
            <w:vAlign w:val="bottom"/>
            <w:gridSpan w:val="2"/>
          </w:tcPr>
          <w:p>
            <w:pPr>
              <w:ind w:left="20"/>
              <w:spacing w:after="0"/>
              <w:rPr>
                <w:sz w:val="20"/>
                <w:szCs w:val="20"/>
                <w:color w:val="auto"/>
              </w:rPr>
            </w:pPr>
            <w:r>
              <w:rPr>
                <w:rFonts w:ascii="Arial" w:cs="Arial" w:eastAsia="Arial" w:hAnsi="Arial"/>
                <w:sz w:val="20"/>
                <w:szCs w:val="20"/>
                <w:color w:val="auto"/>
              </w:rPr>
              <w:t>Milestones. ELUMINEX shall pay to FIBROGEN</w:t>
            </w:r>
          </w:p>
        </w:tc>
        <w:tc>
          <w:tcPr>
            <w:tcW w:w="2120" w:type="dxa"/>
            <w:vAlign w:val="bottom"/>
          </w:tcPr>
          <w:p>
            <w:pPr>
              <w:jc w:val="right"/>
              <w:spacing w:after="0"/>
              <w:rPr>
                <w:sz w:val="20"/>
                <w:szCs w:val="20"/>
                <w:color w:val="auto"/>
              </w:rPr>
            </w:pPr>
            <w:r>
              <w:rPr>
                <w:rFonts w:ascii="Arial" w:cs="Arial" w:eastAsia="Arial" w:hAnsi="Arial"/>
                <w:sz w:val="20"/>
                <w:szCs w:val="20"/>
                <w:color w:val="auto"/>
              </w:rPr>
              <w:t>certain</w:t>
            </w:r>
          </w:p>
        </w:tc>
      </w:tr>
      <w:tr>
        <w:trPr>
          <w:trHeight w:val="20"/>
        </w:trPr>
        <w:tc>
          <w:tcPr>
            <w:tcW w:w="2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r>
      <w:tr>
        <w:trPr>
          <w:trHeight w:val="249"/>
        </w:trPr>
        <w:tc>
          <w:tcPr>
            <w:tcW w:w="3440" w:type="dxa"/>
            <w:vAlign w:val="bottom"/>
            <w:gridSpan w:val="2"/>
          </w:tcPr>
          <w:p>
            <w:pPr>
              <w:jc w:val="right"/>
              <w:spacing w:after="0"/>
              <w:rPr>
                <w:sz w:val="20"/>
                <w:szCs w:val="20"/>
                <w:color w:val="auto"/>
              </w:rPr>
            </w:pPr>
            <w:r>
              <w:rPr>
                <w:rFonts w:ascii="Arial" w:cs="Arial" w:eastAsia="Arial" w:hAnsi="Arial"/>
                <w:sz w:val="20"/>
                <w:szCs w:val="20"/>
                <w:color w:val="auto"/>
                <w:w w:val="92"/>
              </w:rPr>
              <w:t>commercial milestone payments (each, a</w:t>
            </w:r>
          </w:p>
        </w:tc>
        <w:tc>
          <w:tcPr>
            <w:tcW w:w="7800" w:type="dxa"/>
            <w:vAlign w:val="bottom"/>
            <w:gridSpan w:val="3"/>
          </w:tcPr>
          <w:p>
            <w:pPr>
              <w:jc w:val="right"/>
              <w:spacing w:after="0"/>
              <w:rPr>
                <w:sz w:val="20"/>
                <w:szCs w:val="20"/>
                <w:color w:val="auto"/>
              </w:rPr>
            </w:pPr>
            <w:r>
              <w:rPr>
                <w:rFonts w:ascii="Arial" w:cs="Arial" w:eastAsia="Arial" w:hAnsi="Arial"/>
                <w:sz w:val="20"/>
                <w:szCs w:val="20"/>
                <w:color w:val="auto"/>
                <w:w w:val="96"/>
              </w:rPr>
              <w:t>“</w:t>
            </w:r>
            <w:r>
              <w:rPr>
                <w:rFonts w:ascii="Arial" w:cs="Arial" w:eastAsia="Arial" w:hAnsi="Arial"/>
                <w:sz w:val="20"/>
                <w:szCs w:val="20"/>
                <w:b w:val="1"/>
                <w:bCs w:val="1"/>
                <w:color w:val="auto"/>
                <w:w w:val="96"/>
              </w:rPr>
              <w:t>Commercial Milestone Payment</w:t>
            </w:r>
            <w:r>
              <w:rPr>
                <w:rFonts w:ascii="Arial" w:cs="Arial" w:eastAsia="Arial" w:hAnsi="Arial"/>
                <w:sz w:val="20"/>
                <w:szCs w:val="20"/>
                <w:color w:val="auto"/>
                <w:w w:val="96"/>
              </w:rPr>
              <w:t>”) in relation to the Cornea Products and Other Products</w:t>
            </w:r>
          </w:p>
        </w:tc>
      </w:tr>
    </w:tbl>
    <w:p>
      <w:pPr>
        <w:jc w:val="both"/>
        <w:spacing w:after="0" w:line="297" w:lineRule="auto"/>
        <w:rPr>
          <w:sz w:val="20"/>
          <w:szCs w:val="20"/>
          <w:color w:val="auto"/>
        </w:rPr>
      </w:pPr>
      <w:r>
        <w:rPr>
          <w:rFonts w:ascii="Arial" w:cs="Arial" w:eastAsia="Arial" w:hAnsi="Arial"/>
          <w:sz w:val="18"/>
          <w:szCs w:val="18"/>
          <w:color w:val="auto"/>
        </w:rPr>
        <w:t>respectively, following the first occurrence of certain commercial milestone events, as set forth in this Section 3.3 (the “</w:t>
      </w:r>
      <w:r>
        <w:rPr>
          <w:rFonts w:ascii="Arial" w:cs="Arial" w:eastAsia="Arial" w:hAnsi="Arial"/>
          <w:sz w:val="18"/>
          <w:szCs w:val="18"/>
          <w:b w:val="1"/>
          <w:bCs w:val="1"/>
          <w:color w:val="auto"/>
        </w:rPr>
        <w:t>Commercial</w:t>
      </w:r>
      <w:r>
        <w:rPr>
          <w:rFonts w:ascii="Arial" w:cs="Arial" w:eastAsia="Arial" w:hAnsi="Arial"/>
          <w:sz w:val="18"/>
          <w:szCs w:val="18"/>
          <w:color w:val="auto"/>
        </w:rPr>
        <w:t xml:space="preserve"> </w:t>
      </w:r>
      <w:r>
        <w:rPr>
          <w:rFonts w:ascii="Arial" w:cs="Arial" w:eastAsia="Arial" w:hAnsi="Arial"/>
          <w:sz w:val="18"/>
          <w:szCs w:val="18"/>
          <w:b w:val="1"/>
          <w:bCs w:val="1"/>
          <w:color w:val="auto"/>
        </w:rPr>
        <w:t>Milestone Events</w:t>
      </w:r>
      <w:r>
        <w:rPr>
          <w:rFonts w:ascii="Arial" w:cs="Arial" w:eastAsia="Arial" w:hAnsi="Arial"/>
          <w:sz w:val="18"/>
          <w:szCs w:val="18"/>
          <w:color w:val="auto"/>
        </w:rPr>
        <w:t>”). ELUMINEX shall provide notice to FIBROGEN within [*] during which a Commercial Milestone Event is achieved.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8" w:lineRule="exact"/>
        <w:rPr>
          <w:sz w:val="20"/>
          <w:szCs w:val="20"/>
          <w:color w:val="auto"/>
        </w:rPr>
      </w:pPr>
    </w:p>
    <w:p>
      <w:pPr>
        <w:ind w:right="20" w:firstLine="8"/>
        <w:spacing w:after="0" w:line="258" w:lineRule="auto"/>
        <w:tabs>
          <w:tab w:leader="none" w:pos="2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2" w:name="page103"/>
    <w:bookmarkEnd w:id="102"/>
    <w:p>
      <w:pPr>
        <w:jc w:val="both"/>
        <w:spacing w:after="0" w:line="243" w:lineRule="auto"/>
        <w:rPr>
          <w:sz w:val="20"/>
          <w:szCs w:val="20"/>
          <w:color w:val="auto"/>
        </w:rPr>
      </w:pPr>
      <w:r>
        <w:rPr>
          <w:rFonts w:ascii="Arial" w:cs="Arial" w:eastAsia="Arial" w:hAnsi="Arial"/>
          <w:sz w:val="20"/>
          <w:szCs w:val="20"/>
          <w:color w:val="auto"/>
        </w:rPr>
        <w:t>FIBROGEN shall invoice ELUMINEX for the applicable Commercial Milestone Payment in accordance with the notice. Within [*] following ELUMINEX’s receipt of such invoice, ELUMINEX shall pay such Commercial Milestone Payment to FIBROGEN. For clarity, each Commercial Milestone Payment shall be payable by ELUMINEX only once, regardless of the number of times each such Commercial Milestone Event is achieved, and Net Sales of any Product outside its Royalty Term shall not count towards the [*] for determining Commercial Milestone Events. The Commercial Milestone Events and Commercial Milestone Payments shall be as follows (all amounts in U.S. Dollars):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400" w:type="dxa"/>
            <w:vAlign w:val="bottom"/>
          </w:tcPr>
          <w:p>
            <w:pPr>
              <w:jc w:val="right"/>
              <w:ind w:right="161"/>
              <w:spacing w:after="0"/>
              <w:rPr>
                <w:sz w:val="20"/>
                <w:szCs w:val="20"/>
                <w:color w:val="auto"/>
              </w:rPr>
            </w:pPr>
            <w:r>
              <w:rPr>
                <w:rFonts w:ascii="Arial" w:cs="Arial" w:eastAsia="Arial" w:hAnsi="Arial"/>
                <w:sz w:val="20"/>
                <w:szCs w:val="20"/>
                <w:color w:val="010000"/>
              </w:rPr>
              <w:t>3.3.1</w:t>
            </w:r>
          </w:p>
        </w:tc>
        <w:tc>
          <w:tcPr>
            <w:tcW w:w="3180" w:type="dxa"/>
            <w:vAlign w:val="bottom"/>
            <w:gridSpan w:val="4"/>
          </w:tcPr>
          <w:p>
            <w:pPr>
              <w:ind w:left="380"/>
              <w:spacing w:after="0"/>
              <w:rPr>
                <w:sz w:val="20"/>
                <w:szCs w:val="20"/>
                <w:color w:val="auto"/>
              </w:rPr>
            </w:pPr>
            <w:r>
              <w:rPr>
                <w:rFonts w:ascii="Arial" w:cs="Arial" w:eastAsia="Arial" w:hAnsi="Arial"/>
                <w:sz w:val="20"/>
                <w:szCs w:val="20"/>
                <w:color w:val="auto"/>
              </w:rPr>
              <w:t>Cornea Product.</w:t>
            </w:r>
          </w:p>
        </w:tc>
        <w:tc>
          <w:tcPr>
            <w:tcW w:w="5540" w:type="dxa"/>
            <w:vAlign w:val="bottom"/>
          </w:tcPr>
          <w:p>
            <w:pPr>
              <w:spacing w:after="0"/>
              <w:rPr>
                <w:sz w:val="19"/>
                <w:szCs w:val="19"/>
                <w:color w:val="auto"/>
              </w:rPr>
            </w:pPr>
          </w:p>
        </w:tc>
      </w:tr>
      <w:tr>
        <w:trPr>
          <w:trHeight w:val="236"/>
        </w:trPr>
        <w:tc>
          <w:tcPr>
            <w:tcW w:w="24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tcPr>
          <w:p>
            <w:pPr>
              <w:spacing w:after="0"/>
              <w:rPr>
                <w:sz w:val="20"/>
                <w:szCs w:val="20"/>
                <w:color w:val="auto"/>
              </w:rPr>
            </w:pPr>
          </w:p>
        </w:tc>
      </w:tr>
      <w:tr>
        <w:trPr>
          <w:trHeight w:val="223"/>
        </w:trPr>
        <w:tc>
          <w:tcPr>
            <w:tcW w:w="5580" w:type="dxa"/>
            <w:vAlign w:val="bottom"/>
            <w:tcBorders>
              <w:left w:val="single" w:sz="8" w:color="auto"/>
              <w:bottom w:val="single" w:sz="8" w:color="auto"/>
              <w:right w:val="single" w:sz="8" w:color="auto"/>
            </w:tcBorders>
            <w:gridSpan w:val="5"/>
            <w:shd w:val="clear" w:color="auto" w:fill="D9D9D9"/>
          </w:tcPr>
          <w:p>
            <w:pPr>
              <w:jc w:val="center"/>
              <w:spacing w:after="0" w:line="223" w:lineRule="exact"/>
              <w:rPr>
                <w:sz w:val="20"/>
                <w:szCs w:val="20"/>
                <w:color w:val="auto"/>
              </w:rPr>
            </w:pPr>
            <w:r>
              <w:rPr>
                <w:rFonts w:ascii="Arial" w:cs="Arial" w:eastAsia="Arial" w:hAnsi="Arial"/>
                <w:sz w:val="20"/>
                <w:szCs w:val="20"/>
                <w:b w:val="1"/>
                <w:bCs w:val="1"/>
                <w:color w:val="auto"/>
                <w:w w:val="91"/>
              </w:rPr>
              <w:t>Cornea Product Commercial Milestone Event [*]</w:t>
            </w:r>
          </w:p>
        </w:tc>
        <w:tc>
          <w:tcPr>
            <w:tcW w:w="554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b w:val="1"/>
                <w:bCs w:val="1"/>
                <w:color w:val="auto"/>
                <w:w w:val="89"/>
              </w:rPr>
              <w:t>Commercial Milestone Payment</w:t>
            </w:r>
          </w:p>
        </w:tc>
      </w:tr>
      <w:tr>
        <w:trPr>
          <w:trHeight w:val="223"/>
        </w:trPr>
        <w:tc>
          <w:tcPr>
            <w:tcW w:w="240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72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5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240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72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5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240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72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5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240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72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5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240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72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5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240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72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5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614"/>
        </w:trPr>
        <w:tc>
          <w:tcPr>
            <w:tcW w:w="2400" w:type="dxa"/>
            <w:vAlign w:val="bottom"/>
          </w:tcPr>
          <w:p>
            <w:pPr>
              <w:jc w:val="right"/>
              <w:ind w:right="161"/>
              <w:spacing w:after="0"/>
              <w:rPr>
                <w:sz w:val="20"/>
                <w:szCs w:val="20"/>
                <w:color w:val="auto"/>
              </w:rPr>
            </w:pPr>
            <w:r>
              <w:rPr>
                <w:rFonts w:ascii="Arial" w:cs="Arial" w:eastAsia="Arial" w:hAnsi="Arial"/>
                <w:sz w:val="20"/>
                <w:szCs w:val="20"/>
                <w:color w:val="010000"/>
              </w:rPr>
              <w:t>3.3.2</w:t>
            </w:r>
          </w:p>
        </w:tc>
        <w:tc>
          <w:tcPr>
            <w:tcW w:w="3180" w:type="dxa"/>
            <w:vAlign w:val="bottom"/>
            <w:gridSpan w:val="4"/>
          </w:tcPr>
          <w:p>
            <w:pPr>
              <w:ind w:left="380"/>
              <w:spacing w:after="0"/>
              <w:rPr>
                <w:sz w:val="20"/>
                <w:szCs w:val="20"/>
                <w:color w:val="auto"/>
              </w:rPr>
            </w:pPr>
            <w:r>
              <w:rPr>
                <w:rFonts w:ascii="Arial" w:cs="Arial" w:eastAsia="Arial" w:hAnsi="Arial"/>
                <w:sz w:val="20"/>
                <w:szCs w:val="20"/>
                <w:color w:val="auto"/>
              </w:rPr>
              <w:t>Other Product.</w:t>
            </w:r>
          </w:p>
        </w:tc>
        <w:tc>
          <w:tcPr>
            <w:tcW w:w="5540" w:type="dxa"/>
            <w:vAlign w:val="bottom"/>
          </w:tcPr>
          <w:p>
            <w:pPr>
              <w:spacing w:after="0"/>
              <w:rPr>
                <w:sz w:val="24"/>
                <w:szCs w:val="24"/>
                <w:color w:val="auto"/>
              </w:rPr>
            </w:pPr>
          </w:p>
        </w:tc>
      </w:tr>
      <w:tr>
        <w:trPr>
          <w:trHeight w:val="237"/>
        </w:trPr>
        <w:tc>
          <w:tcPr>
            <w:tcW w:w="24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tcPr>
          <w:p>
            <w:pPr>
              <w:spacing w:after="0"/>
              <w:rPr>
                <w:sz w:val="20"/>
                <w:szCs w:val="20"/>
                <w:color w:val="auto"/>
              </w:rPr>
            </w:pPr>
          </w:p>
        </w:tc>
      </w:tr>
      <w:tr>
        <w:trPr>
          <w:trHeight w:val="223"/>
        </w:trPr>
        <w:tc>
          <w:tcPr>
            <w:tcW w:w="5580" w:type="dxa"/>
            <w:vAlign w:val="bottom"/>
            <w:tcBorders>
              <w:left w:val="single" w:sz="8" w:color="auto"/>
              <w:bottom w:val="single" w:sz="8" w:color="auto"/>
              <w:right w:val="single" w:sz="8" w:color="auto"/>
            </w:tcBorders>
            <w:gridSpan w:val="5"/>
            <w:shd w:val="clear" w:color="auto" w:fill="D9D9D9"/>
          </w:tcPr>
          <w:p>
            <w:pPr>
              <w:jc w:val="center"/>
              <w:spacing w:after="0" w:line="223" w:lineRule="exact"/>
              <w:rPr>
                <w:sz w:val="20"/>
                <w:szCs w:val="20"/>
                <w:color w:val="auto"/>
              </w:rPr>
            </w:pPr>
            <w:r>
              <w:rPr>
                <w:rFonts w:ascii="Arial" w:cs="Arial" w:eastAsia="Arial" w:hAnsi="Arial"/>
                <w:sz w:val="20"/>
                <w:szCs w:val="20"/>
                <w:b w:val="1"/>
                <w:bCs w:val="1"/>
                <w:color w:val="auto"/>
                <w:w w:val="91"/>
              </w:rPr>
              <w:t>Other Product Commercial Milestone Event [*]</w:t>
            </w:r>
          </w:p>
        </w:tc>
        <w:tc>
          <w:tcPr>
            <w:tcW w:w="554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b w:val="1"/>
                <w:bCs w:val="1"/>
                <w:color w:val="auto"/>
                <w:w w:val="89"/>
              </w:rPr>
              <w:t>Commercial Milestone Payment</w:t>
            </w:r>
          </w:p>
        </w:tc>
      </w:tr>
      <w:tr>
        <w:trPr>
          <w:trHeight w:val="223"/>
        </w:trPr>
        <w:tc>
          <w:tcPr>
            <w:tcW w:w="240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72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5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240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72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5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240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72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5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240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72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5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240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72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5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2400" w:type="dxa"/>
            <w:vAlign w:val="bottom"/>
            <w:tcBorders>
              <w:left w:val="single" w:sz="8" w:color="auto"/>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720"/>
              <w:spacing w:after="0" w:line="223" w:lineRule="exact"/>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55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For clarity, recitations of [*] in the table immediately above refers to [*].</w:t>
      </w:r>
    </w:p>
    <w:p>
      <w:pPr>
        <w:spacing w:after="0" w:line="216"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216"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8"/>
          <w:szCs w:val="18"/>
          <w:color w:val="010000"/>
        </w:rPr>
        <w:t xml:space="preserve">3.4.1 </w:t>
      </w:r>
      <w:r>
        <w:rPr>
          <w:rFonts w:ascii="Arial" w:cs="Arial" w:eastAsia="Arial" w:hAnsi="Arial"/>
          <w:sz w:val="18"/>
          <w:szCs w:val="18"/>
          <w:u w:val="single" w:color="auto"/>
          <w:color w:val="000000"/>
        </w:rPr>
        <w:t>[*] Product Royalty Payments to FIBROGEN</w:t>
      </w:r>
      <w:r>
        <w:rPr>
          <w:rFonts w:ascii="Arial" w:cs="Arial" w:eastAsia="Arial" w:hAnsi="Arial"/>
          <w:sz w:val="18"/>
          <w:szCs w:val="18"/>
          <w:color w:val="000000"/>
        </w:rPr>
        <w:t>. Subject to the remainder of this Section 3.4.1 and Section</w:t>
      </w:r>
      <w:r>
        <w:rPr>
          <w:rFonts w:ascii="Arial" w:cs="Arial" w:eastAsia="Arial" w:hAnsi="Arial"/>
          <w:sz w:val="18"/>
          <w:szCs w:val="18"/>
          <w:color w:val="010000"/>
        </w:rPr>
        <w:t xml:space="preserve"> </w:t>
      </w:r>
      <w:r>
        <w:rPr>
          <w:rFonts w:ascii="Arial" w:cs="Arial" w:eastAsia="Arial" w:hAnsi="Arial"/>
          <w:sz w:val="18"/>
          <w:szCs w:val="18"/>
          <w:color w:val="000000"/>
        </w:rPr>
        <w:t>3.5 ELUMINEX shall pay to FIBROGEN a royalty on annual aggregate Net Sales of all [*] Products sold by any Selling Party during each year (or partial year) of the applicable [*] Product Royalty Term, as calculated by multiplying the applicable royalty rate set forth below by the corresponding amount of incremental, aggregated Net Sales of all [*] Products sold in the Territory in the applicable Calendar Year.</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7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Aggregate Annual Net Sales of [*] Products</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Royalty Rate</w:t>
            </w:r>
          </w:p>
        </w:tc>
      </w:tr>
      <w:tr>
        <w:trPr>
          <w:trHeight w:val="223"/>
        </w:trPr>
        <w:tc>
          <w:tcPr>
            <w:tcW w:w="87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23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87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23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87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23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87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23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8" w:lineRule="exact"/>
        <w:rPr>
          <w:sz w:val="20"/>
          <w:szCs w:val="20"/>
          <w:color w:val="auto"/>
        </w:rPr>
      </w:pPr>
    </w:p>
    <w:p>
      <w:pPr>
        <w:ind w:right="20" w:firstLine="8"/>
        <w:spacing w:after="0" w:line="258" w:lineRule="auto"/>
        <w:tabs>
          <w:tab w:leader="none" w:pos="2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3" w:name="page104"/>
    <w:bookmarkEnd w:id="103"/>
    <w:p>
      <w:pPr>
        <w:jc w:val="both"/>
        <w:spacing w:after="0" w:line="263" w:lineRule="auto"/>
        <w:rPr>
          <w:sz w:val="20"/>
          <w:szCs w:val="20"/>
          <w:color w:val="auto"/>
        </w:rPr>
      </w:pPr>
      <w:r>
        <w:rPr>
          <w:rFonts w:ascii="Arial" w:cs="Arial" w:eastAsia="Arial" w:hAnsi="Arial"/>
          <w:sz w:val="19"/>
          <w:szCs w:val="19"/>
          <w:color w:val="auto"/>
        </w:rPr>
        <w:t>ELUMINEX’s obligation to pay royalties with respect to a [*] Product sold in a particular country (or region) shall commence upon the First Commercial Sale of such [*] Product in such country (or region) and shall expire on a country-by-country (or region-by-region) basis on the latest of: [*] (the “</w:t>
      </w:r>
      <w:r>
        <w:rPr>
          <w:rFonts w:ascii="Arial" w:cs="Arial" w:eastAsia="Arial" w:hAnsi="Arial"/>
          <w:sz w:val="19"/>
          <w:szCs w:val="19"/>
          <w:b w:val="1"/>
          <w:bCs w:val="1"/>
          <w:color w:val="auto"/>
        </w:rPr>
        <w:t>[*] Product Royalty Term</w:t>
      </w:r>
      <w:r>
        <w:rPr>
          <w:rFonts w:ascii="Arial" w:cs="Arial" w:eastAsia="Arial" w:hAnsi="Arial"/>
          <w:sz w:val="19"/>
          <w:szCs w:val="19"/>
          <w:color w:val="auto"/>
        </w:rPr>
        <w:t>”). For clarity, Net Sales of any [*] Product outside its [*] Product Royalty Term shall not count towards the aggregate annual Net Sales of [*] Products for purposes of this Section 3.4.1.</w:t>
      </w:r>
    </w:p>
    <w:p>
      <w:pPr>
        <w:spacing w:after="0" w:line="176"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8"/>
          <w:szCs w:val="18"/>
          <w:color w:val="010000"/>
        </w:rPr>
        <w:t xml:space="preserve">3.4.2 </w:t>
      </w:r>
      <w:r>
        <w:rPr>
          <w:rFonts w:ascii="Arial" w:cs="Arial" w:eastAsia="Arial" w:hAnsi="Arial"/>
          <w:sz w:val="18"/>
          <w:szCs w:val="18"/>
          <w:u w:val="single" w:color="auto"/>
          <w:color w:val="000000"/>
        </w:rPr>
        <w:t>[*] Product Royalty Payments to FIBROGEN</w:t>
      </w:r>
      <w:r>
        <w:rPr>
          <w:rFonts w:ascii="Arial" w:cs="Arial" w:eastAsia="Arial" w:hAnsi="Arial"/>
          <w:sz w:val="18"/>
          <w:szCs w:val="18"/>
          <w:color w:val="000000"/>
        </w:rPr>
        <w:t>. Subject to the remainder of this Section 3.4.2 and Section</w:t>
      </w:r>
      <w:r>
        <w:rPr>
          <w:rFonts w:ascii="Arial" w:cs="Arial" w:eastAsia="Arial" w:hAnsi="Arial"/>
          <w:sz w:val="18"/>
          <w:szCs w:val="18"/>
          <w:color w:val="010000"/>
        </w:rPr>
        <w:t xml:space="preserve"> </w:t>
      </w:r>
      <w:r>
        <w:rPr>
          <w:rFonts w:ascii="Arial" w:cs="Arial" w:eastAsia="Arial" w:hAnsi="Arial"/>
          <w:sz w:val="18"/>
          <w:szCs w:val="18"/>
          <w:color w:val="000000"/>
        </w:rPr>
        <w:t>3.5, ELUMINEX shall pay to FIBROGEN a royalty on annual aggregate Net Sales of all [*] Products sold by any Selling Party during each year (or partial year) of the applicable [*] Product Royalty Term, as calculated by multiplying the applicable royalty rate set forth below by the corresponding amount of incremental, aggregated Net Sales of all [*] Products sold in the Territory in the applicable Calendar Year.</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7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Aggregate Annual Net Sales of [*] Products</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Royalty Rate</w:t>
            </w:r>
          </w:p>
        </w:tc>
      </w:tr>
      <w:tr>
        <w:trPr>
          <w:trHeight w:val="223"/>
        </w:trPr>
        <w:tc>
          <w:tcPr>
            <w:tcW w:w="87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23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87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23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87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23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23"/>
        </w:trPr>
        <w:tc>
          <w:tcPr>
            <w:tcW w:w="878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color w:val="auto"/>
              </w:rPr>
              <w:t>[*]</w:t>
            </w:r>
          </w:p>
        </w:tc>
        <w:tc>
          <w:tcPr>
            <w:tcW w:w="23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bl>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ELUMINEX’s obligation to pay royalties with respect to an [*] Product sold in a particular country (or region) shall commence upon the First Commercial Sale of such [*] Product in such country (or region) and shall expire on a country-by-country (or region-by-region) basis on the latest of: [*] (the “</w:t>
      </w:r>
      <w:r>
        <w:rPr>
          <w:rFonts w:ascii="Arial" w:cs="Arial" w:eastAsia="Arial" w:hAnsi="Arial"/>
          <w:sz w:val="19"/>
          <w:szCs w:val="19"/>
          <w:b w:val="1"/>
          <w:bCs w:val="1"/>
          <w:color w:val="auto"/>
        </w:rPr>
        <w:t>[*] Product Royalty Term</w:t>
      </w:r>
      <w:r>
        <w:rPr>
          <w:rFonts w:ascii="Arial" w:cs="Arial" w:eastAsia="Arial" w:hAnsi="Arial"/>
          <w:sz w:val="19"/>
          <w:szCs w:val="19"/>
          <w:color w:val="auto"/>
        </w:rPr>
        <w:t>”). For clarity, Net Sales of any [*] Product outside its [*] Product Royalty Term shall not count towards the aggregate annual Net Sales of [*] Products for purposes of this Section 3.4.2.</w:t>
      </w:r>
    </w:p>
    <w:p>
      <w:pPr>
        <w:spacing w:after="0" w:line="176"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8"/>
          <w:szCs w:val="18"/>
          <w:color w:val="010000"/>
        </w:rPr>
        <w:t xml:space="preserve">3.4.3 </w:t>
      </w:r>
      <w:r>
        <w:rPr>
          <w:rFonts w:ascii="Arial" w:cs="Arial" w:eastAsia="Arial" w:hAnsi="Arial"/>
          <w:sz w:val="18"/>
          <w:szCs w:val="18"/>
          <w:u w:val="single" w:color="auto"/>
          <w:color w:val="000000"/>
        </w:rPr>
        <w:t>Reports and Payments</w:t>
      </w:r>
      <w:r>
        <w:rPr>
          <w:rFonts w:ascii="Arial" w:cs="Arial" w:eastAsia="Arial" w:hAnsi="Arial"/>
          <w:sz w:val="18"/>
          <w:szCs w:val="18"/>
          <w:color w:val="000000"/>
        </w:rPr>
        <w:t>. During the applicable Royalty Term, ELUMINEX shall prepare and deliver to</w:t>
      </w:r>
      <w:r>
        <w:rPr>
          <w:rFonts w:ascii="Arial" w:cs="Arial" w:eastAsia="Arial" w:hAnsi="Arial"/>
          <w:sz w:val="18"/>
          <w:szCs w:val="18"/>
          <w:color w:val="010000"/>
        </w:rPr>
        <w:t xml:space="preserve"> </w:t>
      </w:r>
      <w:r>
        <w:rPr>
          <w:rFonts w:ascii="Arial" w:cs="Arial" w:eastAsia="Arial" w:hAnsi="Arial"/>
          <w:sz w:val="18"/>
          <w:szCs w:val="18"/>
          <w:color w:val="000000"/>
        </w:rPr>
        <w:t>FIBROGEN, based on its best knowledge and in good faith, estimated royalty reports for the sale of Product(s) by the Selling Parties for each Calendar Quarter within [*] after the end of each such Calendar Quarter specifying, in each of the following instances (a) through (d) or (f), as applicable to or having occurred in such Calendar Quarter: (a) total gross sales for the Product(s) sold or otherwise disposed of by a Selling Party; (b) amounts deducted in accordance with Section 1.70 from gross sales to calculate Net Sales; (c) Net Sales; (d) the amount of royalties payable for such Calendar Quarter, (e) [*] up until the end of such Calendar Quarter and (f) [*]. Promptly following receipt of each such estimated royalty report, FIBROGEN shall issue an invoice to ELUMINEX for the amount of royalties due for such Calendar Quarter in accordance with such estimated royalty report, and ELUMINEX shall make each royalty payment to FIBROGEN within [*]. Notwithstanding the foregoing, in the event there are any updates to such estimated royalty reports after the delivery of such reports to FIBROGEN after the end of any Calendar Quarter, ELUMINEX shall deliver the updated amounts of instances (a) through (d) or (f) as described in this Section 3.4.3 to FIBROGEN, at the same time with the royalty report due for the immediately following Calendar Quarter and (x) if there was an underpayment of the amount of royalties due for such Calendar Quarter based on the updated amounts for such Calendar Quarter, then FIBROGEN shall issue an invoice for (or add to its invoice for the immediately following Calendar Quarter) such shortfall amount and ELUMINEX shall pay the amount of such invoice within [*] and (y) if ELUMINEX overestimated the amount of royalties due for such Calendar Quarter in the estimated royalty reports and as a result overpaid the amount of royalties due for such Calendar Quarter, the amount of such excess shall be applied as a credit towards the royalty payments for the immediately following Calendar Quarter.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8" w:lineRule="exact"/>
        <w:rPr>
          <w:sz w:val="20"/>
          <w:szCs w:val="20"/>
          <w:color w:val="auto"/>
        </w:rPr>
      </w:pPr>
    </w:p>
    <w:p>
      <w:pPr>
        <w:ind w:right="20" w:firstLine="8"/>
        <w:spacing w:after="0" w:line="258" w:lineRule="auto"/>
        <w:tabs>
          <w:tab w:leader="none" w:pos="2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04" w:name="page105"/>
    <w:bookmarkEnd w:id="104"/>
    <w:p>
      <w:pPr>
        <w:ind w:left="880"/>
        <w:spacing w:after="0"/>
        <w:tabs>
          <w:tab w:leader="none" w:pos="2380" w:val="left"/>
        </w:tabs>
        <w:rPr>
          <w:sz w:val="20"/>
          <w:szCs w:val="20"/>
          <w:color w:val="auto"/>
        </w:rPr>
      </w:pPr>
      <w:r>
        <w:rPr>
          <w:rFonts w:ascii="Arial" w:cs="Arial" w:eastAsia="Arial" w:hAnsi="Arial"/>
          <w:sz w:val="20"/>
          <w:szCs w:val="20"/>
          <w:color w:val="auto"/>
        </w:rPr>
        <w:t>Section 3.5</w:t>
      </w:r>
      <w:r>
        <w:rPr>
          <w:sz w:val="20"/>
          <w:szCs w:val="20"/>
          <w:color w:val="auto"/>
        </w:rPr>
        <w:tab/>
      </w:r>
      <w:r>
        <w:rPr>
          <w:rFonts w:ascii="Arial" w:cs="Arial" w:eastAsia="Arial" w:hAnsi="Arial"/>
          <w:sz w:val="18"/>
          <w:szCs w:val="18"/>
          <w:u w:val="single" w:color="auto"/>
          <w:color w:val="auto"/>
        </w:rPr>
        <w:t>Royalty Reductions</w:t>
      </w:r>
      <w:r>
        <w:rPr>
          <w:rFonts w:ascii="Arial" w:cs="Arial" w:eastAsia="Arial" w:hAnsi="Arial"/>
          <w:sz w:val="18"/>
          <w:szCs w:val="18"/>
          <w:color w:val="auto"/>
        </w:rPr>
        <w:t>.</w:t>
      </w:r>
    </w:p>
    <w:p>
      <w:pPr>
        <w:spacing w:after="0" w:line="216"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010000"/>
        </w:rPr>
        <w:t xml:space="preserve">3.5.1 </w:t>
      </w:r>
      <w:r>
        <w:rPr>
          <w:rFonts w:ascii="Arial" w:cs="Arial" w:eastAsia="Arial" w:hAnsi="Arial"/>
          <w:sz w:val="20"/>
          <w:szCs w:val="20"/>
          <w:u w:val="single" w:color="auto"/>
          <w:color w:val="000000"/>
        </w:rPr>
        <w:t>No FIBROGEN Patent</w:t>
      </w:r>
      <w:r>
        <w:rPr>
          <w:rFonts w:ascii="Arial" w:cs="Arial" w:eastAsia="Arial" w:hAnsi="Arial"/>
          <w:sz w:val="20"/>
          <w:szCs w:val="20"/>
          <w:color w:val="000000"/>
        </w:rPr>
        <w:t>. On a country-by-country (or region-by-region) and Product-by-Product basis, at</w:t>
      </w:r>
      <w:r>
        <w:rPr>
          <w:rFonts w:ascii="Arial" w:cs="Arial" w:eastAsia="Arial" w:hAnsi="Arial"/>
          <w:sz w:val="20"/>
          <w:szCs w:val="20"/>
          <w:color w:val="010000"/>
        </w:rPr>
        <w:t xml:space="preserve"> </w:t>
      </w:r>
      <w:r>
        <w:rPr>
          <w:rFonts w:ascii="Arial" w:cs="Arial" w:eastAsia="Arial" w:hAnsi="Arial"/>
          <w:sz w:val="20"/>
          <w:szCs w:val="20"/>
          <w:color w:val="000000"/>
        </w:rPr>
        <w:t>any time during the applicable Royalty Term, in the event the manufacture, use or sale of a Product in any country (or region) in the Territory is not Covered by a Valid Claim of any FIBROGEN Patent in such country (or region), the royalty rates applicable to such Product in such country (or region) shall immediately be reduced by [*].</w:t>
      </w:r>
    </w:p>
    <w:p>
      <w:pPr>
        <w:spacing w:after="0" w:line="191"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0"/>
          <w:szCs w:val="20"/>
          <w:color w:val="010000"/>
        </w:rPr>
        <w:t xml:space="preserve">3.5.2 </w:t>
      </w:r>
      <w:r>
        <w:rPr>
          <w:rFonts w:ascii="Arial" w:cs="Arial" w:eastAsia="Arial" w:hAnsi="Arial"/>
          <w:sz w:val="20"/>
          <w:szCs w:val="20"/>
          <w:u w:val="single" w:color="auto"/>
          <w:color w:val="000000"/>
        </w:rPr>
        <w:t>Competition.</w:t>
      </w:r>
      <w:r>
        <w:rPr>
          <w:rFonts w:ascii="Arial" w:cs="Arial" w:eastAsia="Arial" w:hAnsi="Arial"/>
          <w:sz w:val="20"/>
          <w:szCs w:val="20"/>
          <w:color w:val="010000"/>
        </w:rPr>
        <w:t xml:space="preserve"> </w:t>
      </w:r>
      <w:r>
        <w:rPr>
          <w:rFonts w:ascii="Arial" w:cs="Arial" w:eastAsia="Arial" w:hAnsi="Arial"/>
          <w:sz w:val="20"/>
          <w:szCs w:val="20"/>
          <w:color w:val="000000"/>
        </w:rPr>
        <w:t>On a country-by-country (or region-by-region) and Product-by-Product basis, at any time</w:t>
      </w:r>
      <w:r>
        <w:rPr>
          <w:rFonts w:ascii="Arial" w:cs="Arial" w:eastAsia="Arial" w:hAnsi="Arial"/>
          <w:sz w:val="20"/>
          <w:szCs w:val="20"/>
          <w:color w:val="010000"/>
        </w:rPr>
        <w:t xml:space="preserve"> </w:t>
      </w:r>
      <w:r>
        <w:rPr>
          <w:rFonts w:ascii="Arial" w:cs="Arial" w:eastAsia="Arial" w:hAnsi="Arial"/>
          <w:sz w:val="20"/>
          <w:szCs w:val="20"/>
          <w:color w:val="000000"/>
        </w:rPr>
        <w:t>during the applicable Royalty Term, (a) in the event one or more Competitive Products enter the market in such country (or region), the royalty rates applicable to such particular [*] Product in such country (or region) [*], and (b) in the event one or more products competitive with an [*] Product enter the market in such country (or region), the royalty rates applicable to such particular [*] Product in such country (or region) [*].</w:t>
      </w:r>
    </w:p>
    <w:p>
      <w:pPr>
        <w:spacing w:after="0" w:line="194"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8"/>
          <w:szCs w:val="18"/>
          <w:color w:val="010000"/>
        </w:rPr>
        <w:t xml:space="preserve">3.5.3 </w:t>
      </w:r>
      <w:r>
        <w:rPr>
          <w:rFonts w:ascii="Arial" w:cs="Arial" w:eastAsia="Arial" w:hAnsi="Arial"/>
          <w:sz w:val="18"/>
          <w:szCs w:val="18"/>
          <w:u w:val="single" w:color="auto"/>
          <w:color w:val="000000"/>
        </w:rPr>
        <w:t>Third-Party Intellectual Property</w:t>
      </w:r>
      <w:r>
        <w:rPr>
          <w:rFonts w:ascii="Arial" w:cs="Arial" w:eastAsia="Arial" w:hAnsi="Arial"/>
          <w:sz w:val="18"/>
          <w:szCs w:val="18"/>
          <w:color w:val="000000"/>
        </w:rPr>
        <w:t>. In the event that Patent Rights or Know-How of a Third Party are, based</w:t>
      </w:r>
      <w:r>
        <w:rPr>
          <w:rFonts w:ascii="Arial" w:cs="Arial" w:eastAsia="Arial" w:hAnsi="Arial"/>
          <w:sz w:val="18"/>
          <w:szCs w:val="18"/>
          <w:color w:val="010000"/>
        </w:rPr>
        <w:t xml:space="preserve"> </w:t>
      </w:r>
      <w:r>
        <w:rPr>
          <w:rFonts w:ascii="Arial" w:cs="Arial" w:eastAsia="Arial" w:hAnsi="Arial"/>
          <w:sz w:val="18"/>
          <w:szCs w:val="18"/>
          <w:color w:val="000000"/>
        </w:rPr>
        <w:t>on the reasonable opinion of ELUMINEX’s IP counsel, necessary for the Exploitation of a [*] Product in the Territory, ELUMINEX may deduct from the royalty payment that would otherwise have been due with respect to Net Sales of such [*] Product in the Territory in a particular Calendar Quarter an amount equal to [*] of the royalties paid by ELUMINEX to such Third Party. In the event that FIBROGEN disagrees in good faith with the opinion of ELUMINEX’s IP counsel, then the Parties shall mutually agree on an independent IP counsel to provide a legal opinion to both Parties, [*], as to the necessity of such Third Party Patent Rights or Know-How. Such independent counsel shall have extensive experience with respect to patent and intellectual property matters with respect to medical device, and must not be a current or former employee, contractor, agent or consultant of, or counsel to either Party or its Affiliates. If such independent IP counsel provides a legal opinion to the Parties that the Third Party Patent Rights or Know-How is necessary for the Exploitation of the [*] Product, then ELUMINEX shall be entitled to make the deduction as provided in this Section 3.5.3.</w:t>
      </w:r>
    </w:p>
    <w:p>
      <w:pPr>
        <w:spacing w:after="0" w:line="174"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010000"/>
        </w:rPr>
        <w:t xml:space="preserve">3.5.4 </w:t>
      </w:r>
      <w:r>
        <w:rPr>
          <w:rFonts w:ascii="Arial" w:cs="Arial" w:eastAsia="Arial" w:hAnsi="Arial"/>
          <w:sz w:val="20"/>
          <w:szCs w:val="20"/>
          <w:u w:val="single" w:color="auto"/>
          <w:color w:val="000000"/>
        </w:rPr>
        <w:t>Maximum Reduction</w:t>
      </w:r>
      <w:r>
        <w:rPr>
          <w:rFonts w:ascii="Arial" w:cs="Arial" w:eastAsia="Arial" w:hAnsi="Arial"/>
          <w:sz w:val="20"/>
          <w:szCs w:val="20"/>
          <w:color w:val="000000"/>
        </w:rPr>
        <w:t>. Notwithstanding Sections 3.5.1, 3.5.2 and 3.5.3, in no event shall any royalty</w:t>
      </w:r>
      <w:r>
        <w:rPr>
          <w:rFonts w:ascii="Arial" w:cs="Arial" w:eastAsia="Arial" w:hAnsi="Arial"/>
          <w:sz w:val="20"/>
          <w:szCs w:val="20"/>
          <w:color w:val="010000"/>
        </w:rPr>
        <w:t xml:space="preserve"> </w:t>
      </w:r>
      <w:r>
        <w:rPr>
          <w:rFonts w:ascii="Arial" w:cs="Arial" w:eastAsia="Arial" w:hAnsi="Arial"/>
          <w:sz w:val="20"/>
          <w:szCs w:val="20"/>
          <w:color w:val="000000"/>
        </w:rPr>
        <w:t>deduction or royalty rate reduction, individually or in combination, decrease the aggregate royalties paid to FIBROGEN with respect to the Net Sales of any Product in any country or region in any Calendar Quarter [*] that would have been payable in such Calendar Quarter under Section 3.4.</w:t>
      </w:r>
    </w:p>
    <w:p>
      <w:pPr>
        <w:spacing w:after="0" w:line="19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3.6</w:t>
      </w:r>
      <w:r>
        <w:rPr>
          <w:sz w:val="20"/>
          <w:szCs w:val="20"/>
          <w:color w:val="auto"/>
        </w:rPr>
        <w:tab/>
      </w:r>
      <w:r>
        <w:rPr>
          <w:rFonts w:ascii="Arial" w:cs="Arial" w:eastAsia="Arial" w:hAnsi="Arial"/>
          <w:sz w:val="16"/>
          <w:szCs w:val="16"/>
          <w:u w:val="single" w:color="auto"/>
          <w:color w:val="auto"/>
        </w:rPr>
        <w:t>Payments</w:t>
      </w:r>
      <w:r>
        <w:rPr>
          <w:rFonts w:ascii="Arial" w:cs="Arial" w:eastAsia="Arial" w:hAnsi="Arial"/>
          <w:sz w:val="16"/>
          <w:szCs w:val="16"/>
          <w:color w:val="auto"/>
        </w:rPr>
        <w:t>.</w:t>
      </w:r>
    </w:p>
    <w:p>
      <w:pPr>
        <w:spacing w:after="0" w:line="216"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0"/>
          <w:szCs w:val="20"/>
          <w:color w:val="010000"/>
        </w:rPr>
        <w:t xml:space="preserve">3.6.1 </w:t>
      </w:r>
      <w:r>
        <w:rPr>
          <w:rFonts w:ascii="Arial" w:cs="Arial" w:eastAsia="Arial" w:hAnsi="Arial"/>
          <w:sz w:val="20"/>
          <w:szCs w:val="20"/>
          <w:u w:val="single" w:color="auto"/>
          <w:color w:val="000000"/>
        </w:rPr>
        <w:t>Method of Payment</w:t>
      </w:r>
      <w:r>
        <w:rPr>
          <w:rFonts w:ascii="Arial" w:cs="Arial" w:eastAsia="Arial" w:hAnsi="Arial"/>
          <w:sz w:val="20"/>
          <w:szCs w:val="20"/>
          <w:color w:val="000000"/>
        </w:rPr>
        <w:t>. Unless otherwise agreed by the Parties, for all payments due from ELUMINEX to</w:t>
      </w:r>
      <w:r>
        <w:rPr>
          <w:rFonts w:ascii="Arial" w:cs="Arial" w:eastAsia="Arial" w:hAnsi="Arial"/>
          <w:sz w:val="20"/>
          <w:szCs w:val="20"/>
          <w:color w:val="010000"/>
        </w:rPr>
        <w:t xml:space="preserve"> </w:t>
      </w:r>
      <w:r>
        <w:rPr>
          <w:rFonts w:ascii="Arial" w:cs="Arial" w:eastAsia="Arial" w:hAnsi="Arial"/>
          <w:sz w:val="20"/>
          <w:szCs w:val="20"/>
          <w:color w:val="000000"/>
        </w:rPr>
        <w:t>FIBROGEN and all payment terms in this Article 3 under this Agreement, ELUMINEX shall mean ELUMINEX BIOSCIENCES (SUZHOU) LIMITED. All payments due from ELUMINEX to FIBROGEN under this Agreement shall be paid in [*] by wire transfer or electronic funds transfer of immediately available funds to the following account (or such other account as FIBROGEN may direct from time to time by written notice to ELUMINEX):</w:t>
      </w:r>
    </w:p>
    <w:p>
      <w:pPr>
        <w:spacing w:after="0" w:line="194"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8" w:lineRule="exact"/>
        <w:rPr>
          <w:sz w:val="20"/>
          <w:szCs w:val="20"/>
          <w:color w:val="auto"/>
        </w:rPr>
      </w:pPr>
    </w:p>
    <w:p>
      <w:pPr>
        <w:ind w:right="20" w:firstLine="8"/>
        <w:spacing w:after="0" w:line="258" w:lineRule="auto"/>
        <w:tabs>
          <w:tab w:leader="none" w:pos="2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05" w:name="page106"/>
    <w:bookmarkEnd w:id="105"/>
    <w:p>
      <w:pPr>
        <w:jc w:val="both"/>
        <w:ind w:firstLine="1727"/>
        <w:spacing w:after="0" w:line="282" w:lineRule="auto"/>
        <w:rPr>
          <w:sz w:val="20"/>
          <w:szCs w:val="20"/>
          <w:color w:val="auto"/>
        </w:rPr>
      </w:pPr>
      <w:r>
        <w:rPr>
          <w:rFonts w:ascii="Arial" w:cs="Arial" w:eastAsia="Arial" w:hAnsi="Arial"/>
          <w:sz w:val="18"/>
          <w:szCs w:val="18"/>
          <w:color w:val="010000"/>
        </w:rPr>
        <w:t xml:space="preserve">3.6.2 </w:t>
      </w:r>
      <w:r>
        <w:rPr>
          <w:rFonts w:ascii="Arial" w:cs="Arial" w:eastAsia="Arial" w:hAnsi="Arial"/>
          <w:sz w:val="18"/>
          <w:szCs w:val="18"/>
          <w:u w:val="single" w:color="auto"/>
          <w:color w:val="000000"/>
        </w:rPr>
        <w:t>Currency Conversion</w:t>
      </w:r>
      <w:r>
        <w:rPr>
          <w:rFonts w:ascii="Arial" w:cs="Arial" w:eastAsia="Arial" w:hAnsi="Arial"/>
          <w:sz w:val="18"/>
          <w:szCs w:val="18"/>
          <w:color w:val="000000"/>
        </w:rPr>
        <w:t>. In the case of sales outside the United States, payments received by ELUMINEX</w:t>
      </w:r>
      <w:r>
        <w:rPr>
          <w:rFonts w:ascii="Arial" w:cs="Arial" w:eastAsia="Arial" w:hAnsi="Arial"/>
          <w:sz w:val="18"/>
          <w:szCs w:val="18"/>
          <w:color w:val="010000"/>
        </w:rPr>
        <w:t xml:space="preserve"> </w:t>
      </w:r>
      <w:r>
        <w:rPr>
          <w:rFonts w:ascii="Arial" w:cs="Arial" w:eastAsia="Arial" w:hAnsi="Arial"/>
          <w:sz w:val="18"/>
          <w:szCs w:val="18"/>
          <w:color w:val="000000"/>
        </w:rPr>
        <w:t>shall be expressed in the [*] calculated on a quarterly basis in the currency of the country of sale and converted to [*] using the rate of exchange for such currency reported in [*], as of the last day of the applicable reporting period (or, if unavailable on such date, the first date thereafter on which such rate is available). ELUMINEX shall cause any Sublicensees to comply with the terms of this Section 3.6.2.</w:t>
      </w:r>
    </w:p>
    <w:p>
      <w:pPr>
        <w:spacing w:after="0" w:line="161" w:lineRule="exact"/>
        <w:rPr>
          <w:sz w:val="20"/>
          <w:szCs w:val="20"/>
          <w:color w:val="auto"/>
        </w:rPr>
      </w:pPr>
    </w:p>
    <w:p>
      <w:pPr>
        <w:jc w:val="both"/>
        <w:ind w:firstLine="1727"/>
        <w:spacing w:after="0" w:line="269" w:lineRule="auto"/>
        <w:rPr>
          <w:sz w:val="20"/>
          <w:szCs w:val="20"/>
          <w:color w:val="auto"/>
        </w:rPr>
      </w:pPr>
      <w:r>
        <w:rPr>
          <w:rFonts w:ascii="Arial" w:cs="Arial" w:eastAsia="Arial" w:hAnsi="Arial"/>
          <w:sz w:val="19"/>
          <w:szCs w:val="19"/>
          <w:color w:val="010000"/>
        </w:rPr>
        <w:t xml:space="preserve">3.6.3 </w:t>
      </w:r>
      <w:r>
        <w:rPr>
          <w:rFonts w:ascii="Arial" w:cs="Arial" w:eastAsia="Arial" w:hAnsi="Arial"/>
          <w:sz w:val="19"/>
          <w:szCs w:val="19"/>
          <w:u w:val="single" w:color="auto"/>
          <w:color w:val="000000"/>
        </w:rPr>
        <w:t>Late Payments</w:t>
      </w:r>
      <w:r>
        <w:rPr>
          <w:rFonts w:ascii="Arial" w:cs="Arial" w:eastAsia="Arial" w:hAnsi="Arial"/>
          <w:sz w:val="19"/>
          <w:szCs w:val="19"/>
          <w:color w:val="000000"/>
        </w:rPr>
        <w:t>. In the event that any payment due hereunder that is not being disputed in good faith is not</w:t>
      </w:r>
      <w:r>
        <w:rPr>
          <w:rFonts w:ascii="Arial" w:cs="Arial" w:eastAsia="Arial" w:hAnsi="Arial"/>
          <w:sz w:val="19"/>
          <w:szCs w:val="19"/>
          <w:color w:val="010000"/>
        </w:rPr>
        <w:t xml:space="preserve"> </w:t>
      </w:r>
      <w:r>
        <w:rPr>
          <w:rFonts w:ascii="Arial" w:cs="Arial" w:eastAsia="Arial" w:hAnsi="Arial"/>
          <w:sz w:val="19"/>
          <w:szCs w:val="19"/>
          <w:color w:val="000000"/>
        </w:rPr>
        <w:t>paid when due, such payment shall accrue interest beginning on the day following the due date thereof, calculated at the annual rate of the sum of [*] that in no event shall said annual interest rate exceed the maximum rate permitted by applicable Law.</w:t>
      </w:r>
    </w:p>
    <w:p>
      <w:pPr>
        <w:spacing w:after="0" w:line="17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Records and Audits</w:t>
      </w:r>
      <w:r>
        <w:rPr>
          <w:rFonts w:ascii="Arial" w:cs="Arial" w:eastAsia="Arial" w:hAnsi="Arial"/>
          <w:sz w:val="18"/>
          <w:szCs w:val="18"/>
          <w:color w:val="auto"/>
        </w:rPr>
        <w:t>. ELUMINEX shall keep complete and accurate records of the underlying revenue and expense data relating to the calculations of Net Sales generated in the then current Calendar Year and payments required under this Agreement, and during the preceding [*]. FIBROGEN shall have the right, [*] to have a internationally recognized, independent, certified public accounting firm, selected by it and subject to ELUMINEX’s prior written consent [*], review any such records of ELUMINEX, its Affiliates and Sublicensees (the “</w:t>
      </w:r>
      <w:r>
        <w:rPr>
          <w:rFonts w:ascii="Arial" w:cs="Arial" w:eastAsia="Arial" w:hAnsi="Arial"/>
          <w:sz w:val="18"/>
          <w:szCs w:val="18"/>
          <w:b w:val="1"/>
          <w:bCs w:val="1"/>
          <w:color w:val="auto"/>
        </w:rPr>
        <w:t>Audited Party</w:t>
      </w:r>
      <w:r>
        <w:rPr>
          <w:rFonts w:ascii="Arial" w:cs="Arial" w:eastAsia="Arial" w:hAnsi="Arial"/>
          <w:sz w:val="18"/>
          <w:szCs w:val="18"/>
          <w:color w:val="auto"/>
        </w:rPr>
        <w:t xml:space="preserve">”) in the location(s) where such records are maintained by the Audited Party upon reasonable written notice (which shall be [*] prior written notice) and during regular business hours and under obligations of strict confidence, for the sole purpose of verifying the basis and accuracy of payments made under 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within the [*] preceding the date of the request for review. No Calendar Year shall be subject to audit under this Section 3.7 [*]. ELUMINEX shall receive a copy of the portions of each such report necessary to verify the accuracy of any purported discrepancy. Should such inspection lead to the discovery of a discrepancy to FIBROGEN’s detriment, ELUMINEX shall, within [*] after receipt of such report from the accounting firm, pay any undisputed amount of the discrepancy together with interest at the rate set forth in Section 3.6.3. [*]. Should the audit lead to the discovery of a discrepancy to the Audited Party’s detriment, [*], and if there are no such payments payable, [*].</w:t>
      </w:r>
    </w:p>
    <w:p>
      <w:pPr>
        <w:spacing w:after="0" w:line="176"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3.8</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8"/>
          <w:szCs w:val="18"/>
          <w:color w:val="010000"/>
        </w:rPr>
        <w:t xml:space="preserve">3.8.1 </w:t>
      </w:r>
      <w:r>
        <w:rPr>
          <w:rFonts w:ascii="Arial" w:cs="Arial" w:eastAsia="Arial" w:hAnsi="Arial"/>
          <w:sz w:val="18"/>
          <w:szCs w:val="18"/>
          <w:u w:val="single" w:color="auto"/>
          <w:color w:val="000000"/>
        </w:rPr>
        <w:t>Cooperation.</w:t>
      </w:r>
      <w:r>
        <w:rPr>
          <w:rFonts w:ascii="Arial" w:cs="Arial" w:eastAsia="Arial" w:hAnsi="Arial"/>
          <w:sz w:val="18"/>
          <w:szCs w:val="18"/>
          <w:color w:val="010000"/>
        </w:rPr>
        <w:t xml:space="preserve"> </w:t>
      </w:r>
      <w:r>
        <w:rPr>
          <w:rFonts w:ascii="Arial" w:cs="Arial" w:eastAsia="Arial" w:hAnsi="Arial"/>
          <w:sz w:val="18"/>
          <w:szCs w:val="18"/>
          <w:color w:val="000000"/>
        </w:rPr>
        <w:t>The Parties agree to, to the extent permitted by applicable Law, cooperate with one another</w:t>
      </w:r>
      <w:r>
        <w:rPr>
          <w:rFonts w:ascii="Arial" w:cs="Arial" w:eastAsia="Arial" w:hAnsi="Arial"/>
          <w:sz w:val="18"/>
          <w:szCs w:val="18"/>
          <w:color w:val="010000"/>
        </w:rPr>
        <w:t xml:space="preserve"> </w:t>
      </w:r>
      <w:r>
        <w:rPr>
          <w:rFonts w:ascii="Arial" w:cs="Arial" w:eastAsia="Arial" w:hAnsi="Arial"/>
          <w:sz w:val="18"/>
          <w:szCs w:val="18"/>
          <w:color w:val="000000"/>
        </w:rPr>
        <w:t>and [*] avoid or reduce Tax withholding or similar obligations in respect of royalties, milestone payments, and other payments made by ELUMINEX to FIBROGEN under this Agreement. FIBROGEN shall provide ELUMINEX with any tax forms that may be reasonably necessary in order for ELUMINEX to not withhold Taxes or to withhold Taxes at a reduced rate under an applicable bilateral income tax treaty, and FIBROGEN shall use reasonable efforts to provide any such tax forms to ELUMINEX in advance of the due date. FIBROGEN shall [*] recover, as permitted by applicable Law, withholding taxes resulting from payments made to it under this Agreement. Each Party shall provide the other Party with reasonable assistance to enable the recovery, as permitted by applicable Law, of withholding taxes resulting from payments made under this Agreement, such recovery to be for the benefit of the Party bearing such withholding tax.</w:t>
      </w:r>
    </w:p>
    <w:p>
      <w:pPr>
        <w:spacing w:after="0" w:line="168"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010000"/>
        </w:rPr>
        <w:t xml:space="preserve">3.8.2 </w:t>
      </w:r>
      <w:r>
        <w:rPr>
          <w:rFonts w:ascii="Arial" w:cs="Arial" w:eastAsia="Arial" w:hAnsi="Arial"/>
          <w:sz w:val="20"/>
          <w:szCs w:val="20"/>
          <w:u w:val="single" w:color="auto"/>
          <w:color w:val="000000"/>
        </w:rPr>
        <w:t>VAT</w:t>
      </w:r>
      <w:r>
        <w:rPr>
          <w:rFonts w:ascii="Arial" w:cs="Arial" w:eastAsia="Arial" w:hAnsi="Arial"/>
          <w:sz w:val="20"/>
          <w:szCs w:val="20"/>
          <w:color w:val="000000"/>
        </w:rPr>
        <w:t>. All payments due to FIBROGEN from ELUMINEX pursuant to this Agreement shall be paid</w:t>
      </w:r>
      <w:r>
        <w:rPr>
          <w:rFonts w:ascii="Arial" w:cs="Arial" w:eastAsia="Arial" w:hAnsi="Arial"/>
          <w:sz w:val="20"/>
          <w:szCs w:val="20"/>
          <w:color w:val="010000"/>
        </w:rPr>
        <w:t xml:space="preserve"> </w:t>
      </w:r>
      <w:r>
        <w:rPr>
          <w:rFonts w:ascii="Arial" w:cs="Arial" w:eastAsia="Arial" w:hAnsi="Arial"/>
          <w:sz w:val="20"/>
          <w:szCs w:val="20"/>
          <w:color w:val="000000"/>
        </w:rPr>
        <w:t>without any deduction for VAT that ELUMINEX may be required by applicable Law in the Territory to withhold or pay to any tax authorities in the Territory. If any VAT is required by applicable Law to be paid to any Governmental Authority from any payment from ELUMINEX to FIBROGEN under this Agreement, ELUMINEX shall [*].</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18" w:lineRule="exact"/>
        <w:rPr>
          <w:sz w:val="20"/>
          <w:szCs w:val="20"/>
          <w:color w:val="auto"/>
        </w:rPr>
      </w:pPr>
    </w:p>
    <w:p>
      <w:pPr>
        <w:ind w:right="20" w:firstLine="8"/>
        <w:spacing w:after="0" w:line="258" w:lineRule="auto"/>
        <w:tabs>
          <w:tab w:leader="none" w:pos="264"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06" w:name="page107"/>
    <w:bookmarkEnd w:id="106"/>
    <w:p>
      <w:pPr>
        <w:jc w:val="both"/>
        <w:ind w:firstLine="1727"/>
        <w:spacing w:after="0" w:line="250" w:lineRule="auto"/>
        <w:rPr>
          <w:sz w:val="20"/>
          <w:szCs w:val="20"/>
          <w:color w:val="auto"/>
        </w:rPr>
      </w:pPr>
      <w:r>
        <w:rPr>
          <w:rFonts w:ascii="Arial" w:cs="Arial" w:eastAsia="Arial" w:hAnsi="Arial"/>
          <w:sz w:val="20"/>
          <w:szCs w:val="20"/>
          <w:color w:val="010000"/>
        </w:rPr>
        <w:t xml:space="preserve">3.8.3 </w:t>
      </w:r>
      <w:r>
        <w:rPr>
          <w:rFonts w:ascii="Arial" w:cs="Arial" w:eastAsia="Arial" w:hAnsi="Arial"/>
          <w:sz w:val="20"/>
          <w:szCs w:val="20"/>
          <w:u w:val="single" w:color="auto"/>
          <w:color w:val="000000"/>
        </w:rPr>
        <w:t>Withholding Tax.</w:t>
      </w:r>
      <w:r>
        <w:rPr>
          <w:rFonts w:ascii="Arial" w:cs="Arial" w:eastAsia="Arial" w:hAnsi="Arial"/>
          <w:sz w:val="20"/>
          <w:szCs w:val="20"/>
          <w:color w:val="010000"/>
        </w:rPr>
        <w:t xml:space="preserve"> </w:t>
      </w:r>
      <w:r>
        <w:rPr>
          <w:rFonts w:ascii="Arial" w:cs="Arial" w:eastAsia="Arial" w:hAnsi="Arial"/>
          <w:sz w:val="20"/>
          <w:szCs w:val="20"/>
          <w:color w:val="000000"/>
        </w:rPr>
        <w:t>If any deductions or tax withholdings for income tax are required by applicable Law to</w:t>
      </w:r>
      <w:r>
        <w:rPr>
          <w:rFonts w:ascii="Arial" w:cs="Arial" w:eastAsia="Arial" w:hAnsi="Arial"/>
          <w:sz w:val="20"/>
          <w:szCs w:val="20"/>
          <w:color w:val="010000"/>
        </w:rPr>
        <w:t xml:space="preserve"> </w:t>
      </w:r>
      <w:r>
        <w:rPr>
          <w:rFonts w:ascii="Arial" w:cs="Arial" w:eastAsia="Arial" w:hAnsi="Arial"/>
          <w:sz w:val="20"/>
          <w:szCs w:val="20"/>
          <w:color w:val="000000"/>
        </w:rPr>
        <w:t>be paid to any Governmental Authority in the Territory from any payment from ELUMINEX to FIBROGEN under this Agreement, ELUMINEX shall [*].</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240" w:type="dxa"/>
            <w:vAlign w:val="bottom"/>
          </w:tcPr>
          <w:p>
            <w:pPr>
              <w:jc w:val="center"/>
              <w:ind w:right="1661"/>
              <w:spacing w:after="0"/>
              <w:rPr>
                <w:sz w:val="20"/>
                <w:szCs w:val="20"/>
                <w:color w:val="auto"/>
              </w:rPr>
            </w:pPr>
            <w:r>
              <w:rPr>
                <w:rFonts w:ascii="Arial" w:cs="Arial" w:eastAsia="Arial" w:hAnsi="Arial"/>
                <w:sz w:val="20"/>
                <w:szCs w:val="20"/>
                <w:b w:val="1"/>
                <w:bCs w:val="1"/>
                <w:color w:val="010000"/>
              </w:rPr>
              <w:t>ARTICLE 4</w:t>
            </w:r>
          </w:p>
        </w:tc>
      </w:tr>
      <w:tr>
        <w:trPr>
          <w:trHeight w:val="256"/>
        </w:trPr>
        <w:tc>
          <w:tcPr>
            <w:tcW w:w="1520" w:type="dxa"/>
            <w:vAlign w:val="bottom"/>
          </w:tcPr>
          <w:p>
            <w:pPr>
              <w:spacing w:after="0"/>
              <w:rPr>
                <w:sz w:val="22"/>
                <w:szCs w:val="22"/>
                <w:color w:val="auto"/>
              </w:rPr>
            </w:pPr>
          </w:p>
        </w:tc>
        <w:tc>
          <w:tcPr>
            <w:tcW w:w="6220" w:type="dxa"/>
            <w:vAlign w:val="bottom"/>
            <w:gridSpan w:val="2"/>
          </w:tcPr>
          <w:p>
            <w:pPr>
              <w:jc w:val="center"/>
              <w:ind w:left="121"/>
              <w:spacing w:after="0"/>
              <w:rPr>
                <w:sz w:val="20"/>
                <w:szCs w:val="20"/>
                <w:color w:val="auto"/>
              </w:rPr>
            </w:pPr>
            <w:r>
              <w:rPr>
                <w:rFonts w:ascii="Arial" w:cs="Arial" w:eastAsia="Arial" w:hAnsi="Arial"/>
                <w:sz w:val="20"/>
                <w:szCs w:val="20"/>
                <w:b w:val="1"/>
                <w:bCs w:val="1"/>
                <w:color w:val="010000"/>
              </w:rPr>
              <w:t>PATENT PROSECUTION, MAINTENANCE AND INFRINGEMENT</w:t>
            </w:r>
          </w:p>
        </w:tc>
      </w:tr>
      <w:tr>
        <w:trPr>
          <w:trHeight w:val="401"/>
        </w:trPr>
        <w:tc>
          <w:tcPr>
            <w:tcW w:w="1520" w:type="dxa"/>
            <w:vAlign w:val="bottom"/>
          </w:tcPr>
          <w:p>
            <w:pPr>
              <w:spacing w:after="0"/>
              <w:rPr>
                <w:sz w:val="20"/>
                <w:szCs w:val="20"/>
                <w:color w:val="auto"/>
              </w:rPr>
            </w:pPr>
            <w:r>
              <w:rPr>
                <w:rFonts w:ascii="Arial" w:cs="Arial" w:eastAsia="Arial" w:hAnsi="Arial"/>
                <w:sz w:val="20"/>
                <w:szCs w:val="20"/>
                <w:color w:val="auto"/>
              </w:rPr>
              <w:t>Section 4.1</w:t>
            </w:r>
          </w:p>
        </w:tc>
        <w:tc>
          <w:tcPr>
            <w:tcW w:w="6220" w:type="dxa"/>
            <w:vAlign w:val="bottom"/>
            <w:gridSpan w:val="2"/>
          </w:tcPr>
          <w:p>
            <w:pPr>
              <w:spacing w:after="0"/>
              <w:rPr>
                <w:sz w:val="20"/>
                <w:szCs w:val="20"/>
                <w:color w:val="auto"/>
              </w:rPr>
            </w:pPr>
            <w:r>
              <w:rPr>
                <w:rFonts w:ascii="Arial" w:cs="Arial" w:eastAsia="Arial" w:hAnsi="Arial"/>
                <w:sz w:val="20"/>
                <w:szCs w:val="20"/>
                <w:color w:val="auto"/>
              </w:rPr>
              <w:t>Ownership of Inventions.</w:t>
            </w:r>
          </w:p>
        </w:tc>
      </w:tr>
      <w:tr>
        <w:trPr>
          <w:trHeight w:val="20"/>
        </w:trPr>
        <w:tc>
          <w:tcPr>
            <w:tcW w:w="15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0"/>
          <w:szCs w:val="20"/>
          <w:color w:val="010000"/>
        </w:rPr>
        <w:t xml:space="preserve">4.1.1 </w:t>
      </w:r>
      <w:r>
        <w:rPr>
          <w:rFonts w:ascii="Arial" w:cs="Arial" w:eastAsia="Arial" w:hAnsi="Arial"/>
          <w:sz w:val="20"/>
          <w:szCs w:val="20"/>
          <w:u w:val="single" w:color="auto"/>
          <w:color w:val="000000"/>
        </w:rPr>
        <w:t>ELUMINEX IP</w:t>
      </w:r>
      <w:r>
        <w:rPr>
          <w:rFonts w:ascii="Arial" w:cs="Arial" w:eastAsia="Arial" w:hAnsi="Arial"/>
          <w:sz w:val="20"/>
          <w:szCs w:val="20"/>
          <w:color w:val="000000"/>
        </w:rPr>
        <w:t>. As between the Parties, all rights, title and interest in and to any intellectual property</w:t>
      </w:r>
      <w:r>
        <w:rPr>
          <w:rFonts w:ascii="Arial" w:cs="Arial" w:eastAsia="Arial" w:hAnsi="Arial"/>
          <w:sz w:val="20"/>
          <w:szCs w:val="20"/>
          <w:color w:val="010000"/>
        </w:rPr>
        <w:t xml:space="preserve"> </w:t>
      </w:r>
      <w:r>
        <w:rPr>
          <w:rFonts w:ascii="Arial" w:cs="Arial" w:eastAsia="Arial" w:hAnsi="Arial"/>
          <w:sz w:val="20"/>
          <w:szCs w:val="20"/>
          <w:color w:val="000000"/>
        </w:rPr>
        <w:t>(including its improvements), including but not limited to inventions, know-how, data, results, procedures, process, formula, etc., and any other tangible objects to be created or developed in connection with the Product solely by, for or on behalf of ELUMINEX (whether alone or through or together with its Affiliates or a Third Party) (“</w:t>
      </w:r>
      <w:r>
        <w:rPr>
          <w:rFonts w:ascii="Arial" w:cs="Arial" w:eastAsia="Arial" w:hAnsi="Arial"/>
          <w:sz w:val="20"/>
          <w:szCs w:val="20"/>
          <w:b w:val="1"/>
          <w:bCs w:val="1"/>
          <w:color w:val="000000"/>
        </w:rPr>
        <w:t>ELUMINEX IP</w:t>
      </w:r>
      <w:r>
        <w:rPr>
          <w:rFonts w:ascii="Arial" w:cs="Arial" w:eastAsia="Arial" w:hAnsi="Arial"/>
          <w:sz w:val="20"/>
          <w:szCs w:val="20"/>
          <w:color w:val="000000"/>
        </w:rPr>
        <w:t>”) shall be solely owned by ELUMINEX. For the avoidance of doubt, ELUMINEX IP may include any improvements, enhancements or other modifications of FIBROGEN Know-How created or developed in connection with the Product solely by, for or on behalf of ELUMINEX (whether alone or through or together with its Affiliates or a Third Party).</w:t>
      </w:r>
    </w:p>
    <w:p>
      <w:pPr>
        <w:spacing w:after="0" w:line="193"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010000"/>
        </w:rPr>
        <w:t xml:space="preserve">4.1.2 </w:t>
      </w:r>
      <w:r>
        <w:rPr>
          <w:rFonts w:ascii="Arial" w:cs="Arial" w:eastAsia="Arial" w:hAnsi="Arial"/>
          <w:sz w:val="20"/>
          <w:szCs w:val="20"/>
          <w:u w:val="single" w:color="auto"/>
          <w:color w:val="000000"/>
        </w:rPr>
        <w:t>Know-How Product IP.</w:t>
      </w:r>
      <w:r>
        <w:rPr>
          <w:rFonts w:ascii="Arial" w:cs="Arial" w:eastAsia="Arial" w:hAnsi="Arial"/>
          <w:sz w:val="20"/>
          <w:szCs w:val="20"/>
          <w:color w:val="010000"/>
        </w:rPr>
        <w:t xml:space="preserve"> </w:t>
      </w:r>
      <w:r>
        <w:rPr>
          <w:rFonts w:ascii="Arial" w:cs="Arial" w:eastAsia="Arial" w:hAnsi="Arial"/>
          <w:sz w:val="20"/>
          <w:szCs w:val="20"/>
          <w:color w:val="000000"/>
        </w:rPr>
        <w:t>Subject to the License, all rights, title and interest in and to any Know-How</w:t>
      </w:r>
      <w:r>
        <w:rPr>
          <w:rFonts w:ascii="Arial" w:cs="Arial" w:eastAsia="Arial" w:hAnsi="Arial"/>
          <w:sz w:val="20"/>
          <w:szCs w:val="20"/>
          <w:color w:val="010000"/>
        </w:rPr>
        <w:t xml:space="preserve"> </w:t>
      </w:r>
      <w:r>
        <w:rPr>
          <w:rFonts w:ascii="Arial" w:cs="Arial" w:eastAsia="Arial" w:hAnsi="Arial"/>
          <w:sz w:val="20"/>
          <w:szCs w:val="20"/>
          <w:color w:val="000000"/>
        </w:rPr>
        <w:t>Product IP (including any Know-How Product IP that is applied for or registered) shall be solely owned by FIBROGEN. Any Know-How Product Patents should be included as FIBROGEN Patents.</w:t>
      </w:r>
    </w:p>
    <w:p>
      <w:pPr>
        <w:spacing w:after="0" w:line="186"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8"/>
          <w:szCs w:val="18"/>
          <w:color w:val="010000"/>
        </w:rPr>
        <w:t xml:space="preserve">4.1.3 </w:t>
      </w:r>
      <w:r>
        <w:rPr>
          <w:rFonts w:ascii="Arial" w:cs="Arial" w:eastAsia="Arial" w:hAnsi="Arial"/>
          <w:sz w:val="18"/>
          <w:szCs w:val="18"/>
          <w:u w:val="single" w:color="auto"/>
          <w:color w:val="000000"/>
        </w:rPr>
        <w:t>Joint IP</w:t>
      </w:r>
      <w:r>
        <w:rPr>
          <w:rFonts w:ascii="Arial" w:cs="Arial" w:eastAsia="Arial" w:hAnsi="Arial"/>
          <w:sz w:val="18"/>
          <w:szCs w:val="18"/>
          <w:i w:val="1"/>
          <w:iCs w:val="1"/>
          <w:color w:val="000000"/>
        </w:rPr>
        <w:t>.</w:t>
      </w:r>
      <w:r>
        <w:rPr>
          <w:rFonts w:ascii="Arial" w:cs="Arial" w:eastAsia="Arial" w:hAnsi="Arial"/>
          <w:sz w:val="18"/>
          <w:szCs w:val="18"/>
          <w:color w:val="010000"/>
        </w:rPr>
        <w:t xml:space="preserve"> </w:t>
      </w:r>
      <w:r>
        <w:rPr>
          <w:rFonts w:ascii="Arial" w:cs="Arial" w:eastAsia="Arial" w:hAnsi="Arial"/>
          <w:sz w:val="18"/>
          <w:szCs w:val="18"/>
          <w:color w:val="000000"/>
        </w:rPr>
        <w:t>Subject to the License, all rights, title and interest in and to any Patent Rights claiming inventions</w:t>
      </w:r>
      <w:r>
        <w:rPr>
          <w:rFonts w:ascii="Arial" w:cs="Arial" w:eastAsia="Arial" w:hAnsi="Arial"/>
          <w:sz w:val="18"/>
          <w:szCs w:val="18"/>
          <w:color w:val="010000"/>
        </w:rPr>
        <w:t xml:space="preserve"> </w:t>
      </w:r>
      <w:r>
        <w:rPr>
          <w:rFonts w:ascii="Arial" w:cs="Arial" w:eastAsia="Arial" w:hAnsi="Arial"/>
          <w:sz w:val="18"/>
          <w:szCs w:val="18"/>
          <w:color w:val="000000"/>
        </w:rPr>
        <w:t>that constitute any combination of (a) ELUMINEX IP and (b) FIBROGEN Know-How (such inventions, “</w:t>
      </w:r>
      <w:r>
        <w:rPr>
          <w:rFonts w:ascii="Arial" w:cs="Arial" w:eastAsia="Arial" w:hAnsi="Arial"/>
          <w:sz w:val="18"/>
          <w:szCs w:val="18"/>
          <w:b w:val="1"/>
          <w:bCs w:val="1"/>
          <w:color w:val="000000"/>
        </w:rPr>
        <w:t>Joint IP</w:t>
      </w:r>
      <w:r>
        <w:rPr>
          <w:rFonts w:ascii="Arial" w:cs="Arial" w:eastAsia="Arial" w:hAnsi="Arial"/>
          <w:sz w:val="18"/>
          <w:szCs w:val="18"/>
          <w:color w:val="000000"/>
        </w:rPr>
        <w:t>” and such Patent Rights, “</w:t>
      </w:r>
      <w:r>
        <w:rPr>
          <w:rFonts w:ascii="Arial" w:cs="Arial" w:eastAsia="Arial" w:hAnsi="Arial"/>
          <w:sz w:val="18"/>
          <w:szCs w:val="18"/>
          <w:b w:val="1"/>
          <w:bCs w:val="1"/>
          <w:color w:val="000000"/>
        </w:rPr>
        <w:t>Joint Patents</w:t>
      </w:r>
      <w:r>
        <w:rPr>
          <w:rFonts w:ascii="Arial" w:cs="Arial" w:eastAsia="Arial" w:hAnsi="Arial"/>
          <w:sz w:val="18"/>
          <w:szCs w:val="18"/>
          <w:color w:val="000000"/>
        </w:rPr>
        <w:t>”), shall be jointly owned by ELUMINEX and FIBROGEN. Joint Patents should be included as FIBROGEN Patents. Each Party agrees to assign and hereby assigns to the other Party a joint and undivided interest in and to all Joint IP and Joint Patents.</w:t>
      </w:r>
    </w:p>
    <w:p>
      <w:pPr>
        <w:spacing w:after="0" w:line="161"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0"/>
          <w:szCs w:val="20"/>
          <w:color w:val="010000"/>
        </w:rPr>
        <w:t xml:space="preserve">4.1.4 </w:t>
      </w:r>
      <w:r>
        <w:rPr>
          <w:rFonts w:ascii="Arial" w:cs="Arial" w:eastAsia="Arial" w:hAnsi="Arial"/>
          <w:sz w:val="20"/>
          <w:szCs w:val="20"/>
          <w:u w:val="single" w:color="auto"/>
          <w:color w:val="000000"/>
        </w:rPr>
        <w:t>Assistance.</w:t>
      </w:r>
      <w:r>
        <w:rPr>
          <w:rFonts w:ascii="Arial" w:cs="Arial" w:eastAsia="Arial" w:hAnsi="Arial"/>
          <w:sz w:val="20"/>
          <w:szCs w:val="20"/>
          <w:color w:val="010000"/>
        </w:rPr>
        <w:t xml:space="preserve"> </w:t>
      </w:r>
      <w:r>
        <w:rPr>
          <w:rFonts w:ascii="Arial" w:cs="Arial" w:eastAsia="Arial" w:hAnsi="Arial"/>
          <w:sz w:val="20"/>
          <w:szCs w:val="20"/>
          <w:color w:val="000000"/>
        </w:rPr>
        <w:t>Each Party shall take all actions and provide the other Party with all reasonably requested</w:t>
      </w:r>
      <w:r>
        <w:rPr>
          <w:rFonts w:ascii="Arial" w:cs="Arial" w:eastAsia="Arial" w:hAnsi="Arial"/>
          <w:sz w:val="20"/>
          <w:szCs w:val="20"/>
          <w:color w:val="010000"/>
        </w:rPr>
        <w:t xml:space="preserve"> </w:t>
      </w:r>
      <w:r>
        <w:rPr>
          <w:rFonts w:ascii="Arial" w:cs="Arial" w:eastAsia="Arial" w:hAnsi="Arial"/>
          <w:sz w:val="20"/>
          <w:szCs w:val="20"/>
          <w:color w:val="000000"/>
        </w:rPr>
        <w:t>assistance to effect the ownership rights set forth in this Section 4.1 and shall execute (or cause to be executed) any and all documents necessary to perfect such ownership as between the Parties. Promptly following ELUMINEX’s or any of its Affiliates’ receipt of any invention disclosure disclosing an invention that constitutes Joint IP, ELUMINEX shall disclose, or shall cause its applicable Affiliate to disclose, the invention to FIBROGEN in writing.</w:t>
      </w:r>
    </w:p>
    <w:p>
      <w:pPr>
        <w:spacing w:after="0" w:line="194"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6"/>
          <w:szCs w:val="16"/>
          <w:u w:val="single" w:color="auto"/>
          <w:color w:val="auto"/>
        </w:rPr>
        <w:t>Prosecution and Maintenance</w:t>
      </w:r>
      <w:r>
        <w:rPr>
          <w:rFonts w:ascii="Arial" w:cs="Arial" w:eastAsia="Arial" w:hAnsi="Arial"/>
          <w:sz w:val="16"/>
          <w:szCs w:val="16"/>
          <w:color w:val="auto"/>
        </w:rPr>
        <w:t>.</w:t>
      </w:r>
    </w:p>
    <w:p>
      <w:pPr>
        <w:spacing w:after="0" w:line="216"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19"/>
          <w:szCs w:val="19"/>
          <w:color w:val="010000"/>
        </w:rPr>
        <w:t xml:space="preserve">4.2.1 </w:t>
      </w:r>
      <w:r>
        <w:rPr>
          <w:rFonts w:ascii="Arial" w:cs="Arial" w:eastAsia="Arial" w:hAnsi="Arial"/>
          <w:sz w:val="19"/>
          <w:szCs w:val="19"/>
          <w:u w:val="single" w:color="auto"/>
          <w:color w:val="000000"/>
        </w:rPr>
        <w:t>FIBROGEN Patents</w:t>
      </w:r>
      <w:r>
        <w:rPr>
          <w:rFonts w:ascii="Arial" w:cs="Arial" w:eastAsia="Arial" w:hAnsi="Arial"/>
          <w:sz w:val="19"/>
          <w:szCs w:val="19"/>
          <w:color w:val="000000"/>
        </w:rPr>
        <w:t>. For purposes of this Section 4.2.1, “FIBROGEN Patents” do not include Know-How</w:t>
      </w:r>
      <w:r>
        <w:rPr>
          <w:rFonts w:ascii="Arial" w:cs="Arial" w:eastAsia="Arial" w:hAnsi="Arial"/>
          <w:sz w:val="19"/>
          <w:szCs w:val="19"/>
          <w:color w:val="010000"/>
        </w:rPr>
        <w:t xml:space="preserve"> </w:t>
      </w:r>
      <w:r>
        <w:rPr>
          <w:rFonts w:ascii="Arial" w:cs="Arial" w:eastAsia="Arial" w:hAnsi="Arial"/>
          <w:sz w:val="19"/>
          <w:szCs w:val="19"/>
          <w:color w:val="000000"/>
        </w:rPr>
        <w:t xml:space="preserve">Product Patents or Joint Patents. ELUMINEX shall have [*] to Prosecute all FIBROGEN Patents in the Territory, [*]. ELUMINEX shall [*] Prosecute all FIBROGEN Patents,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however</w:t>
      </w:r>
      <w:r>
        <w:rPr>
          <w:rFonts w:ascii="Arial" w:cs="Arial" w:eastAsia="Arial" w:hAnsi="Arial"/>
          <w:sz w:val="19"/>
          <w:szCs w:val="19"/>
          <w:color w:val="000000"/>
        </w:rPr>
        <w:t>, that neither Party represents nor warrants that any patent shall issue or be granted based on patent applications contained in the FIBROGEN Patents. FIBROGEN shall reasonably cooperate with ELUMINEX’s requests for data, affidavits, and other information and assistance to support the Prosecution of the FIBROGEN Patents; [*]. ELUMINEX shall keep FIBROGEN [*] informed, in person or by telephone or email, regarding the status of such prosecution and maintenance activities, and ELUMINEX shall promptly, following receipt, forward to FIBROGEN copies of any material office actions, communications, and correspondence relating to the FIBROGEN Patents. FIBROGEN shall have the right to comment on and to discuss prosecution and maintenance activities with ELUMINEX, and ELUMINEX</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18" w:lineRule="exact"/>
        <w:rPr>
          <w:sz w:val="20"/>
          <w:szCs w:val="20"/>
          <w:color w:val="auto"/>
        </w:rPr>
      </w:pPr>
    </w:p>
    <w:p>
      <w:pPr>
        <w:ind w:right="20" w:firstLine="8"/>
        <w:spacing w:after="0" w:line="258" w:lineRule="auto"/>
        <w:tabs>
          <w:tab w:leader="none" w:pos="264" w:val="left"/>
        </w:tabs>
        <w:numPr>
          <w:ilvl w:val="0"/>
          <w:numId w:val="9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7" w:name="page108"/>
    <w:bookmarkEnd w:id="107"/>
    <w:p>
      <w:pPr>
        <w:jc w:val="both"/>
        <w:ind w:right="20"/>
        <w:spacing w:after="0" w:line="260" w:lineRule="auto"/>
        <w:rPr>
          <w:sz w:val="20"/>
          <w:szCs w:val="20"/>
          <w:color w:val="auto"/>
        </w:rPr>
      </w:pPr>
      <w:r>
        <w:rPr>
          <w:rFonts w:ascii="Arial" w:cs="Arial" w:eastAsia="Arial" w:hAnsi="Arial"/>
          <w:sz w:val="20"/>
          <w:szCs w:val="20"/>
          <w:color w:val="auto"/>
        </w:rPr>
        <w:t>shall consider the same in good faith and shall provide FIBROGEN with copies of all proposed filings and correspondence [*] to give FIBROGEN the opportunity to review and comment.</w:t>
      </w:r>
    </w:p>
    <w:p>
      <w:pPr>
        <w:spacing w:after="0" w:line="177"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19"/>
          <w:szCs w:val="19"/>
          <w:color w:val="010000"/>
        </w:rPr>
        <w:t xml:space="preserve">4.2.2 </w:t>
      </w:r>
      <w:r>
        <w:rPr>
          <w:rFonts w:ascii="Arial" w:cs="Arial" w:eastAsia="Arial" w:hAnsi="Arial"/>
          <w:sz w:val="19"/>
          <w:szCs w:val="19"/>
          <w:u w:val="single" w:color="auto"/>
          <w:color w:val="000000"/>
        </w:rPr>
        <w:t>Joint Patents</w:t>
      </w:r>
      <w:r>
        <w:rPr>
          <w:rFonts w:ascii="Arial" w:cs="Arial" w:eastAsia="Arial" w:hAnsi="Arial"/>
          <w:sz w:val="19"/>
          <w:szCs w:val="19"/>
          <w:color w:val="000000"/>
        </w:rPr>
        <w:t>. ELUMINEX shall have the [*] to Prosecute all Joint Patents in the Territory, [*].</w:t>
      </w:r>
      <w:r>
        <w:rPr>
          <w:rFonts w:ascii="Arial" w:cs="Arial" w:eastAsia="Arial" w:hAnsi="Arial"/>
          <w:sz w:val="19"/>
          <w:szCs w:val="19"/>
          <w:color w:val="010000"/>
        </w:rPr>
        <w:t xml:space="preserve"> </w:t>
      </w:r>
      <w:r>
        <w:rPr>
          <w:rFonts w:ascii="Arial" w:cs="Arial" w:eastAsia="Arial" w:hAnsi="Arial"/>
          <w:sz w:val="19"/>
          <w:szCs w:val="19"/>
          <w:color w:val="000000"/>
        </w:rPr>
        <w:t>ELUMINEX shall [*] Prosecute all Joint Patents it elects to Prosecute, provided, however, that neither Party represents nor warrants that any patent will issue or be granted based on patent applications contained in the Joint Patents. FIBROGEN shall reasonably cooperate with ELUMINEX’s requests for data, affidavits, and other information and assistance to support the Prosecution of the Joint IP; [*]. ELUMINEX shall keep FIBROGEN [*] informed, in person or by telephone or email, regarding the status of such prosecution and maintenance activities, and ELUMINEX shall promptly, following receipt, forward to FIBROGEN copies of any material office actions, communications, and correspondence relating to the Joint Patents. FIBROGEN shall have the right to comment on and to discuss prosecution and maintenance activities with ELUMINEX, and ELUMINEX shall consider the same in good faith and shall provide FIBROGEN with copies of all proposed filings and correspondence [*] to give FIBROGEN the opportunity to review and comment.</w:t>
      </w:r>
    </w:p>
    <w:p>
      <w:pPr>
        <w:spacing w:after="0" w:line="184" w:lineRule="exact"/>
        <w:rPr>
          <w:sz w:val="20"/>
          <w:szCs w:val="20"/>
          <w:color w:val="auto"/>
        </w:rPr>
      </w:pPr>
    </w:p>
    <w:p>
      <w:pPr>
        <w:jc w:val="both"/>
        <w:ind w:firstLine="1727"/>
        <w:spacing w:after="0" w:line="255" w:lineRule="auto"/>
        <w:rPr>
          <w:sz w:val="20"/>
          <w:szCs w:val="20"/>
          <w:color w:val="auto"/>
        </w:rPr>
      </w:pPr>
      <w:r>
        <w:rPr>
          <w:rFonts w:ascii="Arial" w:cs="Arial" w:eastAsia="Arial" w:hAnsi="Arial"/>
          <w:sz w:val="19"/>
          <w:szCs w:val="19"/>
          <w:color w:val="010000"/>
        </w:rPr>
        <w:t xml:space="preserve">4.2.3 </w:t>
      </w:r>
      <w:r>
        <w:rPr>
          <w:rFonts w:ascii="Arial" w:cs="Arial" w:eastAsia="Arial" w:hAnsi="Arial"/>
          <w:sz w:val="19"/>
          <w:szCs w:val="19"/>
          <w:u w:val="single" w:color="auto"/>
          <w:color w:val="000000"/>
        </w:rPr>
        <w:t>Know-How Product IP.</w:t>
      </w:r>
      <w:r>
        <w:rPr>
          <w:rFonts w:ascii="Arial" w:cs="Arial" w:eastAsia="Arial" w:hAnsi="Arial"/>
          <w:sz w:val="19"/>
          <w:szCs w:val="19"/>
          <w:color w:val="010000"/>
        </w:rPr>
        <w:t xml:space="preserve"> </w:t>
      </w:r>
      <w:r>
        <w:rPr>
          <w:rFonts w:ascii="Arial" w:cs="Arial" w:eastAsia="Arial" w:hAnsi="Arial"/>
          <w:sz w:val="19"/>
          <w:szCs w:val="19"/>
          <w:color w:val="000000"/>
        </w:rPr>
        <w:t>ELUMINEX shall have the [*] to Prosecute all Know-How Product IP in the</w:t>
      </w:r>
      <w:r>
        <w:rPr>
          <w:rFonts w:ascii="Arial" w:cs="Arial" w:eastAsia="Arial" w:hAnsi="Arial"/>
          <w:sz w:val="19"/>
          <w:szCs w:val="19"/>
          <w:color w:val="010000"/>
        </w:rPr>
        <w:t xml:space="preserve"> </w:t>
      </w:r>
      <w:r>
        <w:rPr>
          <w:rFonts w:ascii="Arial" w:cs="Arial" w:eastAsia="Arial" w:hAnsi="Arial"/>
          <w:sz w:val="19"/>
          <w:szCs w:val="19"/>
          <w:color w:val="000000"/>
        </w:rPr>
        <w:t>Territory, [*]. [*]. ELUMINEX shall [*] Prosecute all Know-How Product IP it elects to Prosecute, provided, however, that neither Party represents nor warrants that any patent or other intellectual property registration will issue or be granted based on patent or other registrable intellectual property applications contained in the Know-How Product IP. FIBROGEN shall discuss the filing strategy for Know-How Product IP with ELUMINEX in good faith, and shall reasonably cooperate with ELUMINEX’s requests for data, affidavits, and other information and assistance to support the Prosecution of the Know-How Product IP; [*]. ELUMINEX shall keep FIBROGEN [*] informed, in person or by telephone or email, regarding the status of such prosecution and maintenance activities, and ELUMINEX shall promptly, following receipt, forward to FIBROGEN copies of any material office actions, communications, and correspondence relating to the Know-How Product IP. FIBROGEN shall have the right to comment on and to discuss prosecution and maintenance activities with ELUMINEX, and ELUMINEX shall consider the same in good faith and shall provide FIBROGEN with copies of all proposed filings and correspondence [*] to give FIBROGEN the opportunity to review and comment.</w:t>
      </w:r>
    </w:p>
    <w:p>
      <w:pPr>
        <w:spacing w:after="0" w:line="18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010000"/>
        </w:rPr>
        <w:t xml:space="preserve">4.2.4 </w:t>
      </w:r>
      <w:r>
        <w:rPr>
          <w:rFonts w:ascii="Arial" w:cs="Arial" w:eastAsia="Arial" w:hAnsi="Arial"/>
          <w:sz w:val="20"/>
          <w:szCs w:val="20"/>
          <w:u w:val="single" w:color="auto"/>
          <w:color w:val="000000"/>
        </w:rPr>
        <w:t>ELUMINEX IP.</w:t>
      </w:r>
      <w:r>
        <w:rPr>
          <w:rFonts w:ascii="Arial" w:cs="Arial" w:eastAsia="Arial" w:hAnsi="Arial"/>
          <w:sz w:val="20"/>
          <w:szCs w:val="20"/>
          <w:color w:val="010000"/>
        </w:rPr>
        <w:t xml:space="preserve"> </w:t>
      </w:r>
      <w:r>
        <w:rPr>
          <w:rFonts w:ascii="Arial" w:cs="Arial" w:eastAsia="Arial" w:hAnsi="Arial"/>
          <w:sz w:val="20"/>
          <w:szCs w:val="20"/>
          <w:color w:val="000000"/>
        </w:rPr>
        <w:t>As between the Parties, ELUMINEX shall have the sole right but not the obligation to</w:t>
      </w:r>
      <w:r>
        <w:rPr>
          <w:rFonts w:ascii="Arial" w:cs="Arial" w:eastAsia="Arial" w:hAnsi="Arial"/>
          <w:sz w:val="20"/>
          <w:szCs w:val="20"/>
          <w:color w:val="010000"/>
        </w:rPr>
        <w:t xml:space="preserve"> </w:t>
      </w:r>
      <w:r>
        <w:rPr>
          <w:rFonts w:ascii="Arial" w:cs="Arial" w:eastAsia="Arial" w:hAnsi="Arial"/>
          <w:sz w:val="20"/>
          <w:szCs w:val="20"/>
          <w:color w:val="000000"/>
        </w:rPr>
        <w:t>Prosecute all Patent Rights directed to ELUMINEX IP in the Territory, [*] using counsel of its own choice. ELUMINEX does not represent or warrant that any patent will issue or be granted based on patent applications directed to any ELUMINEX IP.</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FIBROGEN Step-In Right</w:t>
      </w:r>
      <w:r>
        <w:rPr>
          <w:rFonts w:ascii="Arial" w:cs="Arial" w:eastAsia="Arial" w:hAnsi="Arial"/>
          <w:sz w:val="20"/>
          <w:szCs w:val="20"/>
          <w:color w:val="auto"/>
        </w:rPr>
        <w:t>. Notwithstanding the foregoing, if ELUMINEX declines to Prosecute any FIBROGEN Patents set forth in Exhibit B, any Know-How Product Patents, or any Joint Patents, elects to allow any such Patent Rights to lapse in any country, or elects to abandon any such Patent Rights which a Product is Covered by before all appeals within the respective patent office have been exhausted (each, an “</w:t>
      </w:r>
      <w:r>
        <w:rPr>
          <w:rFonts w:ascii="Arial" w:cs="Arial" w:eastAsia="Arial" w:hAnsi="Arial"/>
          <w:sz w:val="20"/>
          <w:szCs w:val="20"/>
          <w:b w:val="1"/>
          <w:bCs w:val="1"/>
          <w:color w:val="auto"/>
        </w:rPr>
        <w:t>Abandoned Patent Right</w:t>
      </w:r>
      <w:r>
        <w:rPr>
          <w:rFonts w:ascii="Arial" w:cs="Arial" w:eastAsia="Arial" w:hAnsi="Arial"/>
          <w:sz w:val="20"/>
          <w:szCs w:val="20"/>
          <w:color w:val="auto"/>
        </w:rPr>
        <w:t>”), then:</w:t>
      </w:r>
    </w:p>
    <w:p>
      <w:pPr>
        <w:spacing w:after="0" w:line="191" w:lineRule="exact"/>
        <w:rPr>
          <w:sz w:val="20"/>
          <w:szCs w:val="20"/>
          <w:color w:val="auto"/>
        </w:rPr>
      </w:pPr>
    </w:p>
    <w:p>
      <w:pPr>
        <w:ind w:left="1740"/>
        <w:spacing w:after="0"/>
        <w:tabs>
          <w:tab w:leader="none" w:pos="2760" w:val="left"/>
        </w:tabs>
        <w:rPr>
          <w:sz w:val="20"/>
          <w:szCs w:val="20"/>
          <w:color w:val="auto"/>
        </w:rPr>
      </w:pPr>
      <w:r>
        <w:rPr>
          <w:rFonts w:ascii="Arial" w:cs="Arial" w:eastAsia="Arial" w:hAnsi="Arial"/>
          <w:sz w:val="20"/>
          <w:szCs w:val="20"/>
          <w:color w:val="010000"/>
        </w:rPr>
        <w:t>4.3.1</w:t>
      </w:r>
      <w:r>
        <w:rPr>
          <w:sz w:val="20"/>
          <w:szCs w:val="20"/>
          <w:color w:val="auto"/>
        </w:rPr>
        <w:tab/>
      </w:r>
      <w:r>
        <w:rPr>
          <w:rFonts w:ascii="Arial" w:cs="Arial" w:eastAsia="Arial" w:hAnsi="Arial"/>
          <w:sz w:val="20"/>
          <w:szCs w:val="20"/>
          <w:color w:val="auto"/>
        </w:rPr>
        <w:t>[*]</w:t>
      </w:r>
    </w:p>
    <w:p>
      <w:pPr>
        <w:spacing w:after="0" w:line="108" w:lineRule="exact"/>
        <w:rPr>
          <w:sz w:val="20"/>
          <w:szCs w:val="20"/>
          <w:color w:val="auto"/>
        </w:rPr>
      </w:pPr>
    </w:p>
    <w:p>
      <w:pPr>
        <w:ind w:left="1740"/>
        <w:spacing w:after="0"/>
        <w:tabs>
          <w:tab w:leader="none" w:pos="2760" w:val="left"/>
        </w:tabs>
        <w:rPr>
          <w:sz w:val="20"/>
          <w:szCs w:val="20"/>
          <w:color w:val="auto"/>
        </w:rPr>
      </w:pPr>
      <w:r>
        <w:rPr>
          <w:rFonts w:ascii="Arial" w:cs="Arial" w:eastAsia="Arial" w:hAnsi="Arial"/>
          <w:sz w:val="20"/>
          <w:szCs w:val="20"/>
          <w:color w:val="010000"/>
        </w:rPr>
        <w:t>4.3.2</w:t>
      </w:r>
      <w:r>
        <w:rPr>
          <w:sz w:val="20"/>
          <w:szCs w:val="20"/>
          <w:color w:val="auto"/>
        </w:rPr>
        <w:tab/>
      </w:r>
      <w:r>
        <w:rPr>
          <w:rFonts w:ascii="Arial" w:cs="Arial" w:eastAsia="Arial" w:hAnsi="Arial"/>
          <w:sz w:val="20"/>
          <w:szCs w:val="20"/>
          <w:color w:val="auto"/>
        </w:rPr>
        <w:t>[*]</w:t>
      </w:r>
    </w:p>
    <w:p>
      <w:pPr>
        <w:spacing w:after="0" w:line="108" w:lineRule="exact"/>
        <w:rPr>
          <w:sz w:val="20"/>
          <w:szCs w:val="20"/>
          <w:color w:val="auto"/>
        </w:rPr>
      </w:pPr>
    </w:p>
    <w:p>
      <w:pPr>
        <w:ind w:left="1740"/>
        <w:spacing w:after="0"/>
        <w:tabs>
          <w:tab w:leader="none" w:pos="2760" w:val="left"/>
        </w:tabs>
        <w:rPr>
          <w:sz w:val="20"/>
          <w:szCs w:val="20"/>
          <w:color w:val="auto"/>
        </w:rPr>
      </w:pPr>
      <w:r>
        <w:rPr>
          <w:rFonts w:ascii="Arial" w:cs="Arial" w:eastAsia="Arial" w:hAnsi="Arial"/>
          <w:sz w:val="20"/>
          <w:szCs w:val="20"/>
          <w:color w:val="010000"/>
        </w:rPr>
        <w:t>4.3.3</w:t>
      </w:r>
      <w:r>
        <w:rPr>
          <w:sz w:val="20"/>
          <w:szCs w:val="20"/>
          <w:color w:val="auto"/>
        </w:rPr>
        <w:tab/>
      </w:r>
      <w:r>
        <w:rPr>
          <w:rFonts w:ascii="Arial" w:cs="Arial" w:eastAsia="Arial" w:hAnsi="Arial"/>
          <w:sz w:val="20"/>
          <w:szCs w:val="20"/>
          <w:color w:val="auto"/>
        </w:rPr>
        <w:t>[*]</w:t>
      </w:r>
    </w:p>
    <w:p>
      <w:pPr>
        <w:spacing w:after="0" w:line="108" w:lineRule="exact"/>
        <w:rPr>
          <w:sz w:val="20"/>
          <w:szCs w:val="20"/>
          <w:color w:val="auto"/>
        </w:rPr>
      </w:pPr>
    </w:p>
    <w:p>
      <w:pPr>
        <w:ind w:left="1740"/>
        <w:spacing w:after="0"/>
        <w:tabs>
          <w:tab w:leader="none" w:pos="2760" w:val="left"/>
        </w:tabs>
        <w:rPr>
          <w:sz w:val="20"/>
          <w:szCs w:val="20"/>
          <w:color w:val="auto"/>
        </w:rPr>
      </w:pPr>
      <w:r>
        <w:rPr>
          <w:rFonts w:ascii="Arial" w:cs="Arial" w:eastAsia="Arial" w:hAnsi="Arial"/>
          <w:sz w:val="20"/>
          <w:szCs w:val="20"/>
          <w:color w:val="010000"/>
        </w:rPr>
        <w:t>4.3.4</w:t>
      </w:r>
      <w:r>
        <w:rPr>
          <w:sz w:val="20"/>
          <w:szCs w:val="20"/>
          <w:color w:val="auto"/>
        </w:rPr>
        <w:tab/>
      </w:r>
      <w:r>
        <w:rPr>
          <w:rFonts w:ascii="Arial" w:cs="Arial" w:eastAsia="Arial" w:hAnsi="Arial"/>
          <w:sz w:val="20"/>
          <w:szCs w:val="20"/>
          <w:color w:val="auto"/>
        </w:rPr>
        <w:t>[*]</w:t>
      </w:r>
    </w:p>
    <w:p>
      <w:pPr>
        <w:spacing w:after="0" w:line="108" w:lineRule="exact"/>
        <w:rPr>
          <w:sz w:val="20"/>
          <w:szCs w:val="20"/>
          <w:color w:val="auto"/>
        </w:rPr>
      </w:pPr>
    </w:p>
    <w:p>
      <w:pPr>
        <w:ind w:left="1740"/>
        <w:spacing w:after="0"/>
        <w:tabs>
          <w:tab w:leader="none" w:pos="2760" w:val="left"/>
        </w:tabs>
        <w:rPr>
          <w:sz w:val="20"/>
          <w:szCs w:val="20"/>
          <w:color w:val="auto"/>
        </w:rPr>
      </w:pPr>
      <w:r>
        <w:rPr>
          <w:rFonts w:ascii="Arial" w:cs="Arial" w:eastAsia="Arial" w:hAnsi="Arial"/>
          <w:sz w:val="20"/>
          <w:szCs w:val="20"/>
          <w:color w:val="010000"/>
        </w:rPr>
        <w:t>4.3.5</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18" w:lineRule="exact"/>
        <w:rPr>
          <w:sz w:val="20"/>
          <w:szCs w:val="20"/>
          <w:color w:val="auto"/>
        </w:rPr>
      </w:pPr>
    </w:p>
    <w:p>
      <w:pPr>
        <w:ind w:right="20" w:firstLine="8"/>
        <w:spacing w:after="0" w:line="258" w:lineRule="auto"/>
        <w:tabs>
          <w:tab w:leader="none" w:pos="264" w:val="left"/>
        </w:tabs>
        <w:numPr>
          <w:ilvl w:val="0"/>
          <w:numId w:val="9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08" w:name="page109"/>
    <w:bookmarkEnd w:id="108"/>
    <w:p>
      <w:pPr>
        <w:ind w:left="880"/>
        <w:spacing w:after="0"/>
        <w:tabs>
          <w:tab w:leader="none" w:pos="2380" w:val="left"/>
        </w:tabs>
        <w:rPr>
          <w:sz w:val="20"/>
          <w:szCs w:val="20"/>
          <w:color w:val="auto"/>
        </w:rPr>
      </w:pPr>
      <w:r>
        <w:rPr>
          <w:rFonts w:ascii="Arial" w:cs="Arial" w:eastAsia="Arial" w:hAnsi="Arial"/>
          <w:sz w:val="20"/>
          <w:szCs w:val="20"/>
          <w:color w:val="auto"/>
        </w:rPr>
        <w:t>Section 4.4</w:t>
      </w:r>
      <w:r>
        <w:rPr>
          <w:sz w:val="20"/>
          <w:szCs w:val="20"/>
          <w:color w:val="auto"/>
        </w:rPr>
        <w:tab/>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16" w:lineRule="exact"/>
        <w:rPr>
          <w:sz w:val="20"/>
          <w:szCs w:val="20"/>
          <w:color w:val="auto"/>
        </w:rPr>
      </w:pPr>
    </w:p>
    <w:p>
      <w:pPr>
        <w:jc w:val="both"/>
        <w:ind w:firstLine="1727"/>
        <w:spacing w:after="0" w:line="259" w:lineRule="auto"/>
        <w:rPr>
          <w:sz w:val="20"/>
          <w:szCs w:val="20"/>
          <w:color w:val="auto"/>
        </w:rPr>
      </w:pPr>
      <w:r>
        <w:rPr>
          <w:rFonts w:ascii="Arial" w:cs="Arial" w:eastAsia="Arial" w:hAnsi="Arial"/>
          <w:sz w:val="19"/>
          <w:szCs w:val="19"/>
          <w:color w:val="010000"/>
        </w:rPr>
        <w:t xml:space="preserve">4.4.1 </w:t>
      </w:r>
      <w:r>
        <w:rPr>
          <w:rFonts w:ascii="Arial" w:cs="Arial" w:eastAsia="Arial" w:hAnsi="Arial"/>
          <w:sz w:val="19"/>
          <w:szCs w:val="19"/>
          <w:u w:val="single" w:color="auto"/>
          <w:color w:val="000000"/>
        </w:rPr>
        <w:t>ELUMINEX Enforcement</w:t>
      </w:r>
      <w:r>
        <w:rPr>
          <w:rFonts w:ascii="Arial" w:cs="Arial" w:eastAsia="Arial" w:hAnsi="Arial"/>
          <w:sz w:val="19"/>
          <w:szCs w:val="19"/>
          <w:color w:val="000000"/>
        </w:rPr>
        <w:t>. Each Party shall notify the other promptly in writing when any infringement of</w:t>
      </w:r>
      <w:r>
        <w:rPr>
          <w:rFonts w:ascii="Arial" w:cs="Arial" w:eastAsia="Arial" w:hAnsi="Arial"/>
          <w:sz w:val="19"/>
          <w:szCs w:val="19"/>
          <w:color w:val="010000"/>
        </w:rPr>
        <w:t xml:space="preserve"> </w:t>
      </w:r>
      <w:r>
        <w:rPr>
          <w:rFonts w:ascii="Arial" w:cs="Arial" w:eastAsia="Arial" w:hAnsi="Arial"/>
          <w:sz w:val="19"/>
          <w:szCs w:val="19"/>
          <w:color w:val="000000"/>
        </w:rPr>
        <w:t>a FIBROGEN Patent by a Third Party is uncovered or reasonably suspected. ELUMINEX shall have the [*], to enforce any FIBROGEN Patents against any infringement or alleged infringement thereof in the Territory, and shall at all times keep FIBROGEN [*] informed as to the status thereof. ELUMINEX may, [*] institute suit against any such infringer or alleged infringer and control and defend and settle such suit in a manner consistent with the terms and provisions hereof and recover any damages, awards or settlements resulting therefrom, [*]. FIBROGEN shall [*] cooperate in any such action [*]. ELUMINEX shall not [*]</w:t>
      </w:r>
    </w:p>
    <w:p>
      <w:pPr>
        <w:spacing w:after="0" w:line="178"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0"/>
          <w:szCs w:val="20"/>
          <w:color w:val="010000"/>
        </w:rPr>
        <w:t xml:space="preserve">4.4.2 </w:t>
      </w:r>
      <w:r>
        <w:rPr>
          <w:rFonts w:ascii="Arial" w:cs="Arial" w:eastAsia="Arial" w:hAnsi="Arial"/>
          <w:sz w:val="20"/>
          <w:szCs w:val="20"/>
          <w:u w:val="single" w:color="auto"/>
          <w:color w:val="000000"/>
        </w:rPr>
        <w:t>FIBROGEN Enforcement</w:t>
      </w:r>
      <w:r>
        <w:rPr>
          <w:rFonts w:ascii="Arial" w:cs="Arial" w:eastAsia="Arial" w:hAnsi="Arial"/>
          <w:sz w:val="20"/>
          <w:szCs w:val="20"/>
          <w:color w:val="000000"/>
        </w:rPr>
        <w:t>. If ELUMINEX elects not to enforce any patent within the FIBROGEN Patents</w:t>
      </w:r>
      <w:r>
        <w:rPr>
          <w:rFonts w:ascii="Arial" w:cs="Arial" w:eastAsia="Arial" w:hAnsi="Arial"/>
          <w:sz w:val="20"/>
          <w:szCs w:val="20"/>
          <w:color w:val="010000"/>
        </w:rPr>
        <w:t xml:space="preserve"> </w:t>
      </w:r>
      <w:r>
        <w:rPr>
          <w:rFonts w:ascii="Arial" w:cs="Arial" w:eastAsia="Arial" w:hAnsi="Arial"/>
          <w:sz w:val="20"/>
          <w:szCs w:val="20"/>
          <w:color w:val="000000"/>
        </w:rPr>
        <w:t>in the Territory, then it shall so notify FIBROGEN in writing [*], and FIBROGEN may, in its sole judgment, [*], take steps to enforce any such Patent Right by initiating suit against the infringer or alleged infringer and control, settle, and defend such suit in a manner consistent with the terms and provisions hereof, and recover any damages, awards or settlements resulting therefrom, [*]. ELUMINEX shall [*] cooperate in any such action [*]. FIBROGEN shall not [*].</w:t>
      </w:r>
    </w:p>
    <w:p>
      <w:pPr>
        <w:spacing w:after="0" w:line="194" w:lineRule="exact"/>
        <w:rPr>
          <w:sz w:val="20"/>
          <w:szCs w:val="20"/>
          <w:color w:val="auto"/>
        </w:rPr>
      </w:pPr>
    </w:p>
    <w:p>
      <w:pPr>
        <w:jc w:val="both"/>
        <w:ind w:firstLine="1727"/>
        <w:spacing w:after="0" w:line="278" w:lineRule="auto"/>
        <w:rPr>
          <w:sz w:val="20"/>
          <w:szCs w:val="20"/>
          <w:color w:val="auto"/>
        </w:rPr>
      </w:pPr>
      <w:r>
        <w:rPr>
          <w:rFonts w:ascii="Arial" w:cs="Arial" w:eastAsia="Arial" w:hAnsi="Arial"/>
          <w:sz w:val="18"/>
          <w:szCs w:val="18"/>
          <w:color w:val="010000"/>
        </w:rPr>
        <w:t xml:space="preserve">4.4.3 </w:t>
      </w:r>
      <w:r>
        <w:rPr>
          <w:rFonts w:ascii="Arial" w:cs="Arial" w:eastAsia="Arial" w:hAnsi="Arial"/>
          <w:sz w:val="18"/>
          <w:szCs w:val="18"/>
          <w:u w:val="single" w:color="auto"/>
          <w:color w:val="000000"/>
        </w:rPr>
        <w:t>Cooperation with Respect to Enforcement</w:t>
      </w:r>
      <w:r>
        <w:rPr>
          <w:rFonts w:ascii="Arial" w:cs="Arial" w:eastAsia="Arial" w:hAnsi="Arial"/>
          <w:sz w:val="18"/>
          <w:szCs w:val="18"/>
          <w:color w:val="000000"/>
        </w:rPr>
        <w:t>. Irrespective of which Party controls an action pursuant to this</w:t>
      </w:r>
      <w:r>
        <w:rPr>
          <w:rFonts w:ascii="Arial" w:cs="Arial" w:eastAsia="Arial" w:hAnsi="Arial"/>
          <w:sz w:val="18"/>
          <w:szCs w:val="18"/>
          <w:color w:val="010000"/>
        </w:rPr>
        <w:t xml:space="preserve"> </w:t>
      </w:r>
      <w:r>
        <w:rPr>
          <w:rFonts w:ascii="Arial" w:cs="Arial" w:eastAsia="Arial" w:hAnsi="Arial"/>
          <w:sz w:val="18"/>
          <w:szCs w:val="18"/>
          <w:color w:val="000000"/>
        </w:rPr>
        <w:t>Section 4.4 (the “</w:t>
      </w:r>
      <w:r>
        <w:rPr>
          <w:rFonts w:ascii="Arial" w:cs="Arial" w:eastAsia="Arial" w:hAnsi="Arial"/>
          <w:sz w:val="18"/>
          <w:szCs w:val="18"/>
          <w:b w:val="1"/>
          <w:bCs w:val="1"/>
          <w:color w:val="000000"/>
        </w:rPr>
        <w:t>Enforcing Party</w:t>
      </w:r>
      <w:r>
        <w:rPr>
          <w:rFonts w:ascii="Arial" w:cs="Arial" w:eastAsia="Arial" w:hAnsi="Arial"/>
          <w:sz w:val="18"/>
          <w:szCs w:val="18"/>
          <w:color w:val="000000"/>
        </w:rPr>
        <w:t>”), the Parties shall collaborate in the choice of counsel with respect to such enforcement action and the Enforcing Party shall consider in good faith the comments of the other Party with respect to strategic decisions and their implementation with respect to such action. In furtherance of the foregoing, the Enforcing Party shall keep the other Party reasonably informed of the progress of any such enforcement action, and such other Party shall have the individual right to participate with counsel of its own choice [*].</w:t>
      </w:r>
    </w:p>
    <w:p>
      <w:pPr>
        <w:spacing w:after="0" w:line="165"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19"/>
          <w:szCs w:val="19"/>
          <w:color w:val="010000"/>
        </w:rPr>
        <w:t xml:space="preserve">4.4.4 </w:t>
      </w:r>
      <w:r>
        <w:rPr>
          <w:rFonts w:ascii="Arial" w:cs="Arial" w:eastAsia="Arial" w:hAnsi="Arial"/>
          <w:sz w:val="19"/>
          <w:szCs w:val="19"/>
          <w:u w:val="single" w:color="auto"/>
          <w:color w:val="000000"/>
        </w:rPr>
        <w:t>Defense of Third Party Claims</w:t>
      </w:r>
      <w:r>
        <w:rPr>
          <w:rFonts w:ascii="Arial" w:cs="Arial" w:eastAsia="Arial" w:hAnsi="Arial"/>
          <w:sz w:val="19"/>
          <w:szCs w:val="19"/>
          <w:color w:val="000000"/>
        </w:rPr>
        <w:t>. If either (a) any Product Exploited by or on behalf of ELUMINEX</w:t>
      </w:r>
      <w:r>
        <w:rPr>
          <w:rFonts w:ascii="Arial" w:cs="Arial" w:eastAsia="Arial" w:hAnsi="Arial"/>
          <w:sz w:val="19"/>
          <w:szCs w:val="19"/>
          <w:color w:val="010000"/>
        </w:rPr>
        <w:t xml:space="preserve"> </w:t>
      </w:r>
      <w:r>
        <w:rPr>
          <w:rFonts w:ascii="Arial" w:cs="Arial" w:eastAsia="Arial" w:hAnsi="Arial"/>
          <w:sz w:val="19"/>
          <w:szCs w:val="19"/>
          <w:color w:val="000000"/>
        </w:rPr>
        <w:t>becomes the subject of a Third Party’s claim or assertion of infringement of a Patent Right relating to the Exploitation of such Product in the Field in the Territory, or (b) a declaratory judgment action is brought naming either Party as a defendant or alleging invalidity or unenforceability of any of the FIBROGEN Patents, the Party first having notice of the claim or assertion shall promptly notify the other Party, and the Parties shall promptly confer to consider the claim or assertion and the appropriate course of action. Subject to Article 9, unless the Parties otherwise agree in writing, each Party shall have the right to defend itself against a suit that names it as a defendant (the “</w:t>
      </w:r>
      <w:r>
        <w:rPr>
          <w:rFonts w:ascii="Arial" w:cs="Arial" w:eastAsia="Arial" w:hAnsi="Arial"/>
          <w:sz w:val="19"/>
          <w:szCs w:val="19"/>
          <w:b w:val="1"/>
          <w:bCs w:val="1"/>
          <w:color w:val="000000"/>
        </w:rPr>
        <w:t>Defending Party</w:t>
      </w:r>
      <w:r>
        <w:rPr>
          <w:rFonts w:ascii="Arial" w:cs="Arial" w:eastAsia="Arial" w:hAnsi="Arial"/>
          <w:sz w:val="19"/>
          <w:szCs w:val="19"/>
          <w:color w:val="000000"/>
        </w:rPr>
        <w:t>”). [*]. Neither Party shall [*]. Subject to Article 9, the other Party shall reasonably assist the Defending Party and cooperate in any such litigation at the Defending Party’s request and the Defending Party shall [*].</w:t>
      </w:r>
    </w:p>
    <w:p>
      <w:pPr>
        <w:spacing w:after="0" w:line="18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Section 4.5 </w:t>
      </w:r>
      <w:r>
        <w:rPr>
          <w:rFonts w:ascii="Arial" w:cs="Arial" w:eastAsia="Arial" w:hAnsi="Arial"/>
          <w:sz w:val="20"/>
          <w:szCs w:val="20"/>
          <w:u w:val="single" w:color="auto"/>
          <w:color w:val="auto"/>
        </w:rPr>
        <w:t>Recovery</w:t>
      </w:r>
      <w:r>
        <w:rPr>
          <w:rFonts w:ascii="Arial" w:cs="Arial" w:eastAsia="Arial" w:hAnsi="Arial"/>
          <w:sz w:val="20"/>
          <w:szCs w:val="20"/>
          <w:color w:val="auto"/>
        </w:rPr>
        <w:t>. Except as otherwise provided herein, [*], and any damages, settlements or other monetary awards recovered shall be shared as follows: [*]</w:t>
      </w:r>
    </w:p>
    <w:p>
      <w:pPr>
        <w:spacing w:after="0" w:line="177" w:lineRule="exact"/>
        <w:rPr>
          <w:sz w:val="20"/>
          <w:szCs w:val="20"/>
          <w:color w:val="auto"/>
        </w:rPr>
      </w:pPr>
    </w:p>
    <w:p>
      <w:pPr>
        <w:ind w:left="1740" w:hanging="436"/>
        <w:spacing w:after="0"/>
        <w:tabs>
          <w:tab w:leader="none" w:pos="17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40" w:hanging="436"/>
        <w:spacing w:after="0"/>
        <w:tabs>
          <w:tab w:leader="none" w:pos="17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 xml:space="preserve">Section 4.6 </w:t>
      </w:r>
      <w:r>
        <w:rPr>
          <w:rFonts w:ascii="Arial" w:cs="Arial" w:eastAsia="Arial" w:hAnsi="Arial"/>
          <w:sz w:val="20"/>
          <w:szCs w:val="20"/>
          <w:u w:val="single" w:color="auto"/>
          <w:color w:val="auto"/>
        </w:rPr>
        <w:t>Patent Marking</w:t>
      </w:r>
      <w:r>
        <w:rPr>
          <w:rFonts w:ascii="Arial" w:cs="Arial" w:eastAsia="Arial" w:hAnsi="Arial"/>
          <w:sz w:val="20"/>
          <w:szCs w:val="20"/>
          <w:color w:val="auto"/>
        </w:rPr>
        <w:t>. ELUMINEX shall mark, and shall cause all other Selling Parties to mark, the Product(s) in accordance with applicable patent marking Laws,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18" w:lineRule="exact"/>
        <w:rPr>
          <w:sz w:val="20"/>
          <w:szCs w:val="20"/>
          <w:color w:val="auto"/>
        </w:rPr>
      </w:pPr>
    </w:p>
    <w:p>
      <w:pPr>
        <w:ind w:right="20" w:firstLine="8"/>
        <w:spacing w:after="0" w:line="258" w:lineRule="auto"/>
        <w:tabs>
          <w:tab w:leader="none" w:pos="264" w:val="left"/>
        </w:tabs>
        <w:numPr>
          <w:ilvl w:val="0"/>
          <w:numId w:val="9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0"/>
          <w:szCs w:val="20"/>
          <w:b w:val="1"/>
          <w:bCs w:val="1"/>
          <w:color w:val="010000"/>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TECHNOLOGY TRANSFER AND COLLABORATION</w:t>
      </w:r>
    </w:p>
    <w:p>
      <w:pPr>
        <w:spacing w:after="0" w:line="20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Initial Technology Transfer.</w:t>
      </w:r>
      <w:r>
        <w:rPr>
          <w:rFonts w:ascii="Arial" w:cs="Arial" w:eastAsia="Arial" w:hAnsi="Arial"/>
          <w:sz w:val="20"/>
          <w:szCs w:val="20"/>
          <w:color w:val="auto"/>
        </w:rPr>
        <w:t xml:space="preserve"> Within [*], FIBROGEN shall transfer to ELUMINEX the FIBROGEN Know-How (including all items listed in </w:t>
      </w:r>
      <w:r>
        <w:rPr>
          <w:rFonts w:ascii="Arial" w:cs="Arial" w:eastAsia="Arial" w:hAnsi="Arial"/>
          <w:sz w:val="20"/>
          <w:szCs w:val="20"/>
          <w:u w:val="single" w:color="auto"/>
          <w:color w:val="auto"/>
        </w:rPr>
        <w:t>Exhibit A</w:t>
      </w:r>
      <w:r>
        <w:rPr>
          <w:rFonts w:ascii="Arial" w:cs="Arial" w:eastAsia="Arial" w:hAnsi="Arial"/>
          <w:sz w:val="20"/>
          <w:szCs w:val="20"/>
          <w:color w:val="auto"/>
        </w:rPr>
        <w:t>, which shall include the FIBROGEN Know-How related to the manufacture of [*]) (the “</w:t>
      </w:r>
      <w:r>
        <w:rPr>
          <w:rFonts w:ascii="Arial" w:cs="Arial" w:eastAsia="Arial" w:hAnsi="Arial"/>
          <w:sz w:val="20"/>
          <w:szCs w:val="20"/>
          <w:b w:val="1"/>
          <w:bCs w:val="1"/>
          <w:color w:val="auto"/>
        </w:rPr>
        <w:t>Initial</w:t>
      </w:r>
      <w:r>
        <w:rPr>
          <w:rFonts w:ascii="Arial" w:cs="Arial" w:eastAsia="Arial" w:hAnsi="Arial"/>
          <w:sz w:val="20"/>
          <w:szCs w:val="20"/>
          <w:color w:val="auto"/>
        </w:rPr>
        <w:t xml:space="preserve"> </w:t>
      </w:r>
      <w:r>
        <w:rPr>
          <w:rFonts w:ascii="Arial" w:cs="Arial" w:eastAsia="Arial" w:hAnsi="Arial"/>
          <w:sz w:val="20"/>
          <w:szCs w:val="20"/>
          <w:b w:val="1"/>
          <w:bCs w:val="1"/>
          <w:color w:val="auto"/>
        </w:rPr>
        <w:t>Technology Transfer</w:t>
      </w:r>
      <w:r>
        <w:rPr>
          <w:rFonts w:ascii="Arial" w:cs="Arial" w:eastAsia="Arial" w:hAnsi="Arial"/>
          <w:sz w:val="20"/>
          <w:szCs w:val="20"/>
          <w:color w:val="auto"/>
        </w:rPr>
        <w:t>”). The FIBROGEN Know-How shall be transferred in a customary electronic format to the extent available,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in the original paper format, and FIBROGEN shall provide ELUMINEX with a reasonable level of technical assistance and consultation in connection with the Initial Technology Transfer, including access to appropriate personnel from FIBROGEN by teleconference.</w:t>
      </w:r>
    </w:p>
    <w:p>
      <w:pPr>
        <w:spacing w:after="0" w:line="19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Existing Materials Transfer.</w:t>
      </w:r>
      <w:r>
        <w:rPr>
          <w:rFonts w:ascii="Arial" w:cs="Arial" w:eastAsia="Arial" w:hAnsi="Arial"/>
          <w:sz w:val="19"/>
          <w:szCs w:val="19"/>
          <w:color w:val="auto"/>
        </w:rPr>
        <w:t xml:space="preserve"> Effective on the Effective Date, FIBROGEN shall transfer to ELUMINEX [*] for use consistent with this Agreement, the [*] Agreement or the [*]. Any existing materials provided, are provided on an “as is” basis. Within [*] of the Effective Date, for the [*], FIBROGEN shall [*] assign the agreements with [*] to ELUMINEX, provided that [*].</w:t>
      </w:r>
    </w:p>
    <w:p>
      <w:pPr>
        <w:spacing w:after="0" w:line="17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Existing Equipment Transfer.</w:t>
      </w:r>
      <w:r>
        <w:rPr>
          <w:rFonts w:ascii="Arial" w:cs="Arial" w:eastAsia="Arial" w:hAnsi="Arial"/>
          <w:sz w:val="18"/>
          <w:szCs w:val="18"/>
          <w:color w:val="auto"/>
        </w:rPr>
        <w:t xml:space="preserve"> FIBROGEN agrees to assign and hereby assigns to ELUMINEX all rights, title and interest in and to the equipment designated to manufacture and quality control the Products as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Equipment</w:t>
      </w:r>
      <w:r>
        <w:rPr>
          <w:rFonts w:ascii="Arial" w:cs="Arial" w:eastAsia="Arial" w:hAnsi="Arial"/>
          <w:sz w:val="18"/>
          <w:szCs w:val="18"/>
          <w:color w:val="auto"/>
        </w:rPr>
        <w:t>”). During the Term, FIBROGEN shall maintain and hold the Equipment in trust for, on behalf of, and for the benefit of ELUMINEX, and retain possession of the Equipment for use consistent with this Agreement, the [*] Agreement or the [*], until the Equipment is transferred to ELUMINEX or its designee pursuant to the remainder of this Section 5.3. At any time during the Term, promptly upon written notice by ELUMINEX, FIBROGEN shall deliver, or have delivered, the Equipment to ELUMINEX or its designee [*]. Upon acceptance of the Equipment, [*]. Subject to the foregoing provisions of this Section 5.3, the Equipment will be delivered on an “as is” basis.</w:t>
      </w:r>
    </w:p>
    <w:p>
      <w:pPr>
        <w:spacing w:after="0" w:line="168"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Manufacturing Technology Transfer.</w:t>
      </w:r>
      <w:r>
        <w:rPr>
          <w:rFonts w:ascii="Arial" w:cs="Arial" w:eastAsia="Arial" w:hAnsi="Arial"/>
          <w:sz w:val="18"/>
          <w:szCs w:val="18"/>
          <w:color w:val="auto"/>
        </w:rPr>
        <w:t xml:space="preserve"> At any time during the Term, FIBROGEN shall, at the written request of ELUMINEX, transfer technology related to the manufacture of [*] and the [*] Product to ELUMINEX or its designated manufacturer (the “</w:t>
      </w:r>
      <w:r>
        <w:rPr>
          <w:rFonts w:ascii="Arial" w:cs="Arial" w:eastAsia="Arial" w:hAnsi="Arial"/>
          <w:sz w:val="18"/>
          <w:szCs w:val="18"/>
          <w:b w:val="1"/>
          <w:bCs w:val="1"/>
          <w:color w:val="auto"/>
        </w:rPr>
        <w:t>Manufacture Technology Transfer</w:t>
      </w:r>
      <w:r>
        <w:rPr>
          <w:rFonts w:ascii="Arial" w:cs="Arial" w:eastAsia="Arial" w:hAnsi="Arial"/>
          <w:sz w:val="18"/>
          <w:szCs w:val="18"/>
          <w:color w:val="auto"/>
        </w:rPr>
        <w:t xml:space="preserve">”). The Manufacture Technology Transfer shall be conducted in accordance with the [*] based on the manufacture technology transfer plan as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With respect to the [*] Product, the Manufacture Technology Transfer shall be deemed to be completed by the earlier to occur of (a) ELUMINEX or its designated manufacturer [*], (b) ELUMINEX or its designated manufacturer [*], or (c) [*] (the “</w:t>
      </w:r>
      <w:r>
        <w:rPr>
          <w:rFonts w:ascii="Arial" w:cs="Arial" w:eastAsia="Arial" w:hAnsi="Arial"/>
          <w:sz w:val="18"/>
          <w:szCs w:val="18"/>
          <w:b w:val="1"/>
          <w:bCs w:val="1"/>
          <w:color w:val="auto"/>
        </w:rPr>
        <w:t>[*] Product Manufacture Technology Transfer Completion Date</w:t>
      </w:r>
      <w:r>
        <w:rPr>
          <w:rFonts w:ascii="Arial" w:cs="Arial" w:eastAsia="Arial" w:hAnsi="Arial"/>
          <w:sz w:val="18"/>
          <w:szCs w:val="18"/>
          <w:color w:val="auto"/>
        </w:rPr>
        <w:t>”). With respect to [*], the Manufacture Technology Transfer shall be deemed to be completed on the earliest of (a) the date on which ELUMINEX or its designated manufacturer [*], (b) the date on which ELUMINEX or its designated manufacturer [*], or (c) [*]. FIBROGEN shall [*] assist ELUMINEX to complete the Manufacture Technology Transfer within [*] after receiving the written request from ELUMINEX.</w:t>
      </w:r>
    </w:p>
    <w:p>
      <w:pPr>
        <w:spacing w:after="0" w:line="17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Transition Assistance</w:t>
      </w:r>
      <w:r>
        <w:rPr>
          <w:rFonts w:ascii="Arial" w:cs="Arial" w:eastAsia="Arial" w:hAnsi="Arial"/>
          <w:sz w:val="18"/>
          <w:szCs w:val="18"/>
          <w:color w:val="auto"/>
        </w:rPr>
        <w:t>. During the Term and with respect to the Initial Technology Transfer and the Manufacturing Technology Transfer, FIBROGEN shall (a) at the reasonable request of ELUMINEX, provide up to [*] assistance, including general engineering and technical advice relating to the methods and processes of Exploiting Products and any and all other collaborative and assistance activities, and (b) at the reasonable request of ELUMINEX, provide further assistance in [*] at FIBROGEN’s applicable FTE Rate.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DEVELOPMENT AND COMMERCIALIZATION</w:t>
      </w:r>
    </w:p>
    <w:p>
      <w:pPr>
        <w:spacing w:after="0" w:line="200"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8"/>
          <w:szCs w:val="18"/>
          <w:u w:val="single" w:color="auto"/>
          <w:color w:val="auto"/>
        </w:rPr>
        <w:t>Responsibility for Development and Commercialization.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18" w:lineRule="exact"/>
        <w:rPr>
          <w:sz w:val="20"/>
          <w:szCs w:val="20"/>
          <w:color w:val="auto"/>
        </w:rPr>
      </w:pPr>
    </w:p>
    <w:p>
      <w:pPr>
        <w:ind w:right="20" w:firstLine="8"/>
        <w:spacing w:after="0" w:line="258" w:lineRule="auto"/>
        <w:tabs>
          <w:tab w:leader="none" w:pos="2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jc w:val="both"/>
        <w:ind w:firstLine="1727"/>
        <w:spacing w:after="0" w:line="246" w:lineRule="auto"/>
        <w:rPr>
          <w:sz w:val="20"/>
          <w:szCs w:val="20"/>
          <w:color w:val="auto"/>
        </w:rPr>
      </w:pPr>
      <w:r>
        <w:rPr>
          <w:rFonts w:ascii="Arial" w:cs="Arial" w:eastAsia="Arial" w:hAnsi="Arial"/>
          <w:sz w:val="20"/>
          <w:szCs w:val="20"/>
          <w:color w:val="010000"/>
        </w:rPr>
        <w:t xml:space="preserve">6.1.1 </w:t>
      </w:r>
      <w:r>
        <w:rPr>
          <w:rFonts w:ascii="Arial" w:cs="Arial" w:eastAsia="Arial" w:hAnsi="Arial"/>
          <w:sz w:val="20"/>
          <w:szCs w:val="20"/>
          <w:u w:val="single" w:color="auto"/>
          <w:color w:val="000000"/>
        </w:rPr>
        <w:t>Responsibility</w:t>
      </w:r>
      <w:r>
        <w:rPr>
          <w:rFonts w:ascii="Arial" w:cs="Arial" w:eastAsia="Arial" w:hAnsi="Arial"/>
          <w:sz w:val="20"/>
          <w:szCs w:val="20"/>
          <w:color w:val="000000"/>
        </w:rPr>
        <w:t>. Following the Effective Date and at all times during the Term (except as expressly stated</w:t>
      </w:r>
      <w:r>
        <w:rPr>
          <w:rFonts w:ascii="Arial" w:cs="Arial" w:eastAsia="Arial" w:hAnsi="Arial"/>
          <w:sz w:val="20"/>
          <w:szCs w:val="20"/>
          <w:color w:val="010000"/>
        </w:rPr>
        <w:t xml:space="preserve"> </w:t>
      </w:r>
      <w:r>
        <w:rPr>
          <w:rFonts w:ascii="Arial" w:cs="Arial" w:eastAsia="Arial" w:hAnsi="Arial"/>
          <w:sz w:val="20"/>
          <w:szCs w:val="20"/>
          <w:color w:val="000000"/>
        </w:rPr>
        <w:t>otherwise herein), ELUMINEX shall be responsible, [*], for the research, development, seeking, obtaining and maintaining Regulatory Approvals, commercialization and other Exploitation of all Products in the Field in the Territory, including regulatory, manufacturing, distribution, marketing and sales activities.</w:t>
      </w:r>
    </w:p>
    <w:p>
      <w:pPr>
        <w:spacing w:after="0" w:line="191"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010000"/>
        </w:rPr>
        <w:t xml:space="preserve">6.1.2 </w:t>
      </w:r>
      <w:r>
        <w:rPr>
          <w:rFonts w:ascii="Arial" w:cs="Arial" w:eastAsia="Arial" w:hAnsi="Arial"/>
          <w:sz w:val="20"/>
          <w:szCs w:val="20"/>
          <w:u w:val="single" w:color="auto"/>
          <w:color w:val="000000"/>
        </w:rPr>
        <w:t>Level of Efforts</w:t>
      </w:r>
      <w:r>
        <w:rPr>
          <w:rFonts w:ascii="Arial" w:cs="Arial" w:eastAsia="Arial" w:hAnsi="Arial"/>
          <w:sz w:val="20"/>
          <w:szCs w:val="20"/>
          <w:color w:val="000000"/>
        </w:rPr>
        <w:t>. ELUMINEX shall [*] develop and commercialize the Products, including, but not</w:t>
      </w:r>
      <w:r>
        <w:rPr>
          <w:rFonts w:ascii="Arial" w:cs="Arial" w:eastAsia="Arial" w:hAnsi="Arial"/>
          <w:sz w:val="20"/>
          <w:szCs w:val="20"/>
          <w:color w:val="010000"/>
        </w:rPr>
        <w:t xml:space="preserve"> </w:t>
      </w:r>
      <w:r>
        <w:rPr>
          <w:rFonts w:ascii="Arial" w:cs="Arial" w:eastAsia="Arial" w:hAnsi="Arial"/>
          <w:sz w:val="20"/>
          <w:szCs w:val="20"/>
          <w:color w:val="000000"/>
        </w:rPr>
        <w:t>limited to, clinical development, regulatory affairs, manufacturing and commercialization of the Products in the Field in the Territory, [*], to [*].</w:t>
      </w:r>
    </w:p>
    <w:p>
      <w:pPr>
        <w:spacing w:after="0" w:line="186" w:lineRule="exact"/>
        <w:rPr>
          <w:sz w:val="20"/>
          <w:szCs w:val="20"/>
          <w:color w:val="auto"/>
        </w:rPr>
      </w:pPr>
    </w:p>
    <w:p>
      <w:pPr>
        <w:jc w:val="both"/>
        <w:ind w:firstLine="1727"/>
        <w:spacing w:after="0" w:line="242" w:lineRule="auto"/>
        <w:rPr>
          <w:sz w:val="20"/>
          <w:szCs w:val="20"/>
          <w:color w:val="auto"/>
        </w:rPr>
      </w:pPr>
      <w:r>
        <w:rPr>
          <w:rFonts w:ascii="Arial" w:cs="Arial" w:eastAsia="Arial" w:hAnsi="Arial"/>
          <w:sz w:val="20"/>
          <w:szCs w:val="20"/>
          <w:color w:val="010000"/>
        </w:rPr>
        <w:t xml:space="preserve">6.1.3 </w:t>
      </w:r>
      <w:r>
        <w:rPr>
          <w:rFonts w:ascii="Arial" w:cs="Arial" w:eastAsia="Arial" w:hAnsi="Arial"/>
          <w:sz w:val="20"/>
          <w:szCs w:val="20"/>
          <w:u w:val="single" w:color="auto"/>
          <w:color w:val="000000"/>
        </w:rPr>
        <w:t>Regulatory Assistance</w:t>
      </w:r>
      <w:r>
        <w:rPr>
          <w:rFonts w:ascii="Arial" w:cs="Arial" w:eastAsia="Arial" w:hAnsi="Arial"/>
          <w:sz w:val="20"/>
          <w:szCs w:val="20"/>
          <w:color w:val="000000"/>
        </w:rPr>
        <w:t>. During the Term, ELUMINEX shall be the owner and the holder on record of all</w:t>
      </w:r>
      <w:r>
        <w:rPr>
          <w:rFonts w:ascii="Arial" w:cs="Arial" w:eastAsia="Arial" w:hAnsi="Arial"/>
          <w:sz w:val="20"/>
          <w:szCs w:val="20"/>
          <w:color w:val="010000"/>
        </w:rPr>
        <w:t xml:space="preserve"> </w:t>
      </w:r>
      <w:r>
        <w:rPr>
          <w:rFonts w:ascii="Arial" w:cs="Arial" w:eastAsia="Arial" w:hAnsi="Arial"/>
          <w:sz w:val="20"/>
          <w:szCs w:val="20"/>
          <w:color w:val="000000"/>
        </w:rPr>
        <w:t>Regulatory Filings in the Territory in ELUMINEX’s or its Affiliate’s name. FIBROGEN agrees to assign and hereby assigns to ELUMINEX all Regulatory Filings with respect to the Products which are owned or controlled by FIBROGEN as of the Effective Date in the Territory, and shall transfer all such Regulatory Filings to ELUMINEX within [*] after the Effective Date. Except as set forth in the preceding sentence or as provided by FIBROGEN pursuant to Section 5.5, ELUMINEX shall be solely responsible for preparing, obtaining and maintaining all Regulatory Filings for the Products in the Territory, and for conducting all communications with Regulatory Authorities in the Territory, [*]. ELUMINEX shall provide summaries of all material Regulatory Filings as part of the progress reports provided to FIBROGEN in accordance with Section 6.2.</w:t>
      </w:r>
    </w:p>
    <w:p>
      <w:pPr>
        <w:spacing w:after="0" w:line="19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Reports</w:t>
      </w:r>
      <w:r>
        <w:rPr>
          <w:rFonts w:ascii="Arial" w:cs="Arial" w:eastAsia="Arial" w:hAnsi="Arial"/>
          <w:sz w:val="18"/>
          <w:szCs w:val="18"/>
          <w:color w:val="auto"/>
        </w:rPr>
        <w:t>. On a [*] basis from the Effective Date, ELUMINEX shall provide to FIBROGEN, [*], a report that includes a high-level summary of the status of ELUMINEX’s and its Affiliates’ and Sublicensees’ development activities related to the Product(s) since the immediately preceding report, including [*] (the “</w:t>
      </w:r>
      <w:r>
        <w:rPr>
          <w:rFonts w:ascii="Arial" w:cs="Arial" w:eastAsia="Arial" w:hAnsi="Arial"/>
          <w:sz w:val="18"/>
          <w:szCs w:val="18"/>
          <w:b w:val="1"/>
          <w:bCs w:val="1"/>
          <w:color w:val="auto"/>
        </w:rPr>
        <w:t>Development Reports</w:t>
      </w:r>
      <w:r>
        <w:rPr>
          <w:rFonts w:ascii="Arial" w:cs="Arial" w:eastAsia="Arial" w:hAnsi="Arial"/>
          <w:sz w:val="18"/>
          <w:szCs w:val="18"/>
          <w:color w:val="auto"/>
        </w:rPr>
        <w:t>”). From and after the First Commercial Sale of a Product, ELUMINEX shall also provide annual reports (the “</w:t>
      </w:r>
      <w:r>
        <w:rPr>
          <w:rFonts w:ascii="Arial" w:cs="Arial" w:eastAsia="Arial" w:hAnsi="Arial"/>
          <w:sz w:val="18"/>
          <w:szCs w:val="18"/>
          <w:b w:val="1"/>
          <w:bCs w:val="1"/>
          <w:color w:val="auto"/>
        </w:rPr>
        <w:t>Annual Reports</w:t>
      </w:r>
      <w:r>
        <w:rPr>
          <w:rFonts w:ascii="Arial" w:cs="Arial" w:eastAsia="Arial" w:hAnsi="Arial"/>
          <w:sz w:val="18"/>
          <w:szCs w:val="18"/>
          <w:color w:val="auto"/>
        </w:rPr>
        <w:t>”) to FIBROGEN within [*] following the end of each Calendar Year summarizing ELUMINEX’s commercialization efforts during the prior Calendar Year with respect to such Product. Within [*] after FIBROGEN receives such Development Report or Annual Report from ELUMINEX, the Parties shall convene for meetings by teleconference, videoconference or some other electronic means (unless the Parties agree to meet in-person) to discuss such reports and the associated activities at such times and places as the Parties mutually agree. Each Party [*] associated with attending such meetings. Each Party may from time to time invite a reasonable number of participants, in addition to its representatives, to attend such meetings. Each individual invited by a Party and attending any such meeting hereunder shall be bound by written non-use, non-disclosure terms and conditions at least as restrictive as those set forth in this Agreement with respect to the Confidential Information of the other Party.</w:t>
      </w:r>
    </w:p>
    <w:p>
      <w:pPr>
        <w:spacing w:after="0" w:line="17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6.3 </w:t>
      </w:r>
      <w:r>
        <w:rPr>
          <w:rFonts w:ascii="Arial" w:cs="Arial" w:eastAsia="Arial" w:hAnsi="Arial"/>
          <w:sz w:val="20"/>
          <w:szCs w:val="20"/>
          <w:u w:val="single" w:color="auto"/>
          <w:color w:val="auto"/>
        </w:rPr>
        <w:t>Joint Collaboration Committee</w:t>
      </w:r>
      <w:r>
        <w:rPr>
          <w:rFonts w:ascii="Arial" w:cs="Arial" w:eastAsia="Arial" w:hAnsi="Arial"/>
          <w:sz w:val="20"/>
          <w:szCs w:val="20"/>
          <w:color w:val="auto"/>
        </w:rPr>
        <w:t>. The Parties may, by mutual agreement at any time, establish a joint collaboration committee (the “</w:t>
      </w:r>
      <w:r>
        <w:rPr>
          <w:rFonts w:ascii="Arial" w:cs="Arial" w:eastAsia="Arial" w:hAnsi="Arial"/>
          <w:sz w:val="20"/>
          <w:szCs w:val="20"/>
          <w:b w:val="1"/>
          <w:bCs w:val="1"/>
          <w:color w:val="auto"/>
        </w:rPr>
        <w:t>JCC</w:t>
      </w:r>
      <w:r>
        <w:rPr>
          <w:rFonts w:ascii="Arial" w:cs="Arial" w:eastAsia="Arial" w:hAnsi="Arial"/>
          <w:sz w:val="20"/>
          <w:szCs w:val="20"/>
          <w:color w:val="auto"/>
        </w:rPr>
        <w:t>”) to provide a forum for the Parties to exchange information with respect to the exercise of their rights and performance of their obligations in accordance with this Agreement. The responsibilities of the JCC shall be decided by the Parties if and when such JCC is formed, and may include:</w:t>
      </w:r>
    </w:p>
    <w:p>
      <w:pPr>
        <w:spacing w:after="0" w:line="191" w:lineRule="exact"/>
        <w:rPr>
          <w:sz w:val="20"/>
          <w:szCs w:val="20"/>
          <w:color w:val="auto"/>
        </w:rPr>
      </w:pPr>
    </w:p>
    <w:p>
      <w:pPr>
        <w:ind w:left="2600" w:hanging="865"/>
        <w:spacing w:after="0"/>
        <w:tabs>
          <w:tab w:leader="none" w:pos="26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providing a forum for sharing information with respect to development and commercialization efforts,</w:t>
      </w:r>
    </w:p>
    <w:p>
      <w:pPr>
        <w:spacing w:after="0" w:line="227" w:lineRule="exact"/>
        <w:rPr>
          <w:rFonts w:ascii="Arial" w:cs="Arial" w:eastAsia="Arial" w:hAnsi="Arial"/>
          <w:sz w:val="19"/>
          <w:szCs w:val="19"/>
          <w:color w:val="auto"/>
        </w:rPr>
      </w:pPr>
    </w:p>
    <w:p>
      <w:pPr>
        <w:ind w:left="2620" w:hanging="885"/>
        <w:spacing w:after="0"/>
        <w:tabs>
          <w:tab w:leader="none" w:pos="26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sharing pertinent information with respect to the Products, such as safety data, Regulatory Filings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Clinical Trial results,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18" w:lineRule="exact"/>
        <w:rPr>
          <w:sz w:val="20"/>
          <w:szCs w:val="20"/>
          <w:color w:val="auto"/>
        </w:rPr>
      </w:pPr>
    </w:p>
    <w:p>
      <w:pPr>
        <w:ind w:right="20" w:firstLine="8"/>
        <w:spacing w:after="0" w:line="258" w:lineRule="auto"/>
        <w:tabs>
          <w:tab w:leader="none" w:pos="2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1" w:name="page112"/>
    <w:bookmarkEnd w:id="111"/>
    <w:p>
      <w:pPr>
        <w:ind w:left="2600" w:hanging="865"/>
        <w:spacing w:after="0"/>
        <w:tabs>
          <w:tab w:leader="none" w:pos="2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coordinating development and commercialization efforts where and as appropriate and providing subject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matter expertise, and</w:t>
      </w:r>
    </w:p>
    <w:p>
      <w:pPr>
        <w:spacing w:after="0" w:line="200" w:lineRule="exact"/>
        <w:rPr>
          <w:sz w:val="20"/>
          <w:szCs w:val="20"/>
          <w:color w:val="auto"/>
        </w:rPr>
      </w:pPr>
    </w:p>
    <w:p>
      <w:pPr>
        <w:ind w:left="2620" w:hanging="885"/>
        <w:spacing w:after="0"/>
        <w:tabs>
          <w:tab w:leader="none" w:pos="26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providing an initial forum for the discussion of any dispute between the Parties.</w:t>
      </w:r>
    </w:p>
    <w:p>
      <w:pPr>
        <w:spacing w:after="0" w:line="21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The JCC, if established, shall be comprised of [*] from each Party and shall meet when, where and as determined by the Parties. The JCC shall not have any decision-making authority but shall serve solely to facilitate the exchange of information by the Parties. The JCC may be disbanded at any time after its formation upon the request of either Party. The JCC shall have no authority or ability to amend, modify, or waive compliance by either Party with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MANUFACTURE AND SUPPLY</w:t>
      </w:r>
    </w:p>
    <w:p>
      <w:pPr>
        <w:spacing w:after="0" w:line="200"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8"/>
          <w:szCs w:val="18"/>
          <w:u w:val="single" w:color="auto"/>
          <w:color w:val="auto"/>
        </w:rPr>
        <w:t>Supply by FIBROGEN</w:t>
      </w:r>
      <w:r>
        <w:rPr>
          <w:rFonts w:ascii="Arial" w:cs="Arial" w:eastAsia="Arial" w:hAnsi="Arial"/>
          <w:sz w:val="18"/>
          <w:szCs w:val="18"/>
          <w:color w:val="auto"/>
        </w:rPr>
        <w:t>. [*], FIBROGEN shall be responsible for supplying ELUMINEX’s requirement for the</w:t>
      </w:r>
    </w:p>
    <w:p>
      <w:pPr>
        <w:spacing w:after="0" w:line="16" w:lineRule="exact"/>
        <w:rPr>
          <w:sz w:val="20"/>
          <w:szCs w:val="20"/>
          <w:color w:val="auto"/>
        </w:rPr>
      </w:pPr>
    </w:p>
    <w:p>
      <w:pPr>
        <w:ind w:right="20" w:firstLine="8"/>
        <w:spacing w:after="0" w:line="244" w:lineRule="auto"/>
        <w:tabs>
          <w:tab w:leader="none" w:pos="29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Product [*] in the [*] Agreement) in accordance with the [*] Agreement. Notwithstanding the foregoing, FIBROGEN’s obligations to supply [*] Product to ELUMINEX shall terminate in all circumstances [*].</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REPRESENTATIONS</w:t>
      </w:r>
    </w:p>
    <w:p>
      <w:pPr>
        <w:spacing w:after="0" w:line="200"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8"/>
          <w:szCs w:val="18"/>
          <w:u w:val="single" w:color="auto"/>
          <w:color w:val="auto"/>
        </w:rPr>
        <w:t>Mutual Warranties</w:t>
      </w:r>
      <w:r>
        <w:rPr>
          <w:rFonts w:ascii="Arial" w:cs="Arial" w:eastAsia="Arial" w:hAnsi="Arial"/>
          <w:sz w:val="18"/>
          <w:szCs w:val="18"/>
          <w:color w:val="auto"/>
        </w:rPr>
        <w:t>. Each of FIBROGEN and ELUMINEX represent and warrant as of the Effective Date that:</w:t>
      </w:r>
    </w:p>
    <w:p>
      <w:pPr>
        <w:spacing w:after="0" w:line="216" w:lineRule="exact"/>
        <w:rPr>
          <w:sz w:val="20"/>
          <w:szCs w:val="20"/>
          <w:color w:val="auto"/>
        </w:rPr>
      </w:pPr>
    </w:p>
    <w:p>
      <w:pPr>
        <w:jc w:val="both"/>
        <w:ind w:firstLine="1735"/>
        <w:spacing w:after="0" w:line="250" w:lineRule="auto"/>
        <w:tabs>
          <w:tab w:leader="none" w:pos="259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it is duly organized and validly existing under the Law of the jurisdiction of its incorporation, and has full corporate power and authority to enter into this Agreement and to carry out the provisions hereof, including the right to grant the licenses granted by it hereunder;</w:t>
      </w:r>
    </w:p>
    <w:p>
      <w:pPr>
        <w:spacing w:after="0" w:line="185" w:lineRule="exact"/>
        <w:rPr>
          <w:rFonts w:ascii="Arial" w:cs="Arial" w:eastAsia="Arial" w:hAnsi="Arial"/>
          <w:sz w:val="20"/>
          <w:szCs w:val="20"/>
          <w:color w:val="auto"/>
        </w:rPr>
      </w:pPr>
    </w:p>
    <w:p>
      <w:pPr>
        <w:ind w:firstLine="1735"/>
        <w:spacing w:after="0" w:line="287" w:lineRule="auto"/>
        <w:tabs>
          <w:tab w:leader="none" w:pos="260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it is duly authorized to execute and deliver this Agreement and to perform its obligations hereunder, and the individual executing this Agreement on its behalf has been duly authorized to do so by all requisite corporate action;</w:t>
      </w:r>
    </w:p>
    <w:p>
      <w:pPr>
        <w:spacing w:after="0" w:line="152" w:lineRule="exact"/>
        <w:rPr>
          <w:rFonts w:ascii="Arial" w:cs="Arial" w:eastAsia="Arial" w:hAnsi="Arial"/>
          <w:sz w:val="19"/>
          <w:szCs w:val="19"/>
          <w:color w:val="auto"/>
        </w:rPr>
      </w:pPr>
    </w:p>
    <w:p>
      <w:pPr>
        <w:jc w:val="both"/>
        <w:ind w:firstLine="1735"/>
        <w:spacing w:after="0" w:line="250" w:lineRule="auto"/>
        <w:tabs>
          <w:tab w:leader="none" w:pos="259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this Agreement is legally binding upon it and enforceable in accordance with its terms. The execution, delivery and performance of this Agreement by it does not conflict with any agreement, instrument or understanding, oral or written, to which it is a party or by which it may be bound, nor violate any material applicable Law;</w:t>
      </w:r>
    </w:p>
    <w:p>
      <w:pPr>
        <w:spacing w:after="0" w:line="185" w:lineRule="exact"/>
        <w:rPr>
          <w:rFonts w:ascii="Arial" w:cs="Arial" w:eastAsia="Arial" w:hAnsi="Arial"/>
          <w:sz w:val="20"/>
          <w:szCs w:val="20"/>
          <w:color w:val="auto"/>
        </w:rPr>
      </w:pPr>
    </w:p>
    <w:p>
      <w:pPr>
        <w:ind w:left="2620" w:hanging="885"/>
        <w:spacing w:after="0"/>
        <w:tabs>
          <w:tab w:leader="none" w:pos="262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it has not been debarred, excluded or the subject of debarment or exclusion proceedings by any</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Governmental Authority and</w:t>
      </w:r>
    </w:p>
    <w:p>
      <w:pPr>
        <w:spacing w:after="0" w:line="199" w:lineRule="exact"/>
        <w:rPr>
          <w:rFonts w:ascii="Arial" w:cs="Arial" w:eastAsia="Arial" w:hAnsi="Arial"/>
          <w:sz w:val="20"/>
          <w:szCs w:val="20"/>
          <w:color w:val="auto"/>
        </w:rPr>
      </w:pPr>
    </w:p>
    <w:p>
      <w:pPr>
        <w:jc w:val="both"/>
        <w:ind w:right="20" w:firstLine="1735"/>
        <w:spacing w:after="0" w:line="246" w:lineRule="auto"/>
        <w:tabs>
          <w:tab w:leader="none" w:pos="2595"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it has established and maintains reasonable internal policies and controls, including codes of conduct and ethics and reasonable reporting requirements, intended to ensure compliance with Anti-Corruption Laws and other applicable Laws, to the extent applicable to it under the laws of the jurisdiction of its incorporation, including healthcare compliance, privacy laws and data protection laws.</w:t>
      </w:r>
    </w:p>
    <w:p>
      <w:pPr>
        <w:spacing w:after="0" w:line="191"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 xml:space="preserve">Section 8.2 </w:t>
      </w:r>
      <w:r>
        <w:rPr>
          <w:rFonts w:ascii="Arial" w:cs="Arial" w:eastAsia="Arial" w:hAnsi="Arial"/>
          <w:sz w:val="20"/>
          <w:szCs w:val="20"/>
          <w:u w:val="single" w:color="auto"/>
          <w:color w:val="auto"/>
        </w:rPr>
        <w:t>Mutual Covenants</w:t>
      </w:r>
      <w:r>
        <w:rPr>
          <w:rFonts w:ascii="Arial" w:cs="Arial" w:eastAsia="Arial" w:hAnsi="Arial"/>
          <w:sz w:val="20"/>
          <w:szCs w:val="20"/>
          <w:color w:val="auto"/>
        </w:rPr>
        <w:t>. Each Party shall comply in all material respects with all applicable Laws (including applicable Law relating to data protection and privacy) and Proper Conduct Practices in connection with the performance of its rights, duties and obligations under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18" w:lineRule="exact"/>
        <w:rPr>
          <w:sz w:val="20"/>
          <w:szCs w:val="20"/>
          <w:color w:val="auto"/>
        </w:rPr>
      </w:pPr>
    </w:p>
    <w:p>
      <w:pPr>
        <w:ind w:right="20" w:firstLine="8"/>
        <w:spacing w:after="0" w:line="258" w:lineRule="auto"/>
        <w:tabs>
          <w:tab w:leader="none" w:pos="2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2" w:name="page113"/>
    <w:bookmarkEnd w:id="112"/>
    <w:p>
      <w:pPr>
        <w:ind w:left="880"/>
        <w:spacing w:after="0"/>
        <w:tabs>
          <w:tab w:leader="none" w:pos="2400" w:val="left"/>
        </w:tabs>
        <w:rPr>
          <w:sz w:val="20"/>
          <w:szCs w:val="20"/>
          <w:color w:val="auto"/>
        </w:rPr>
      </w:pPr>
      <w:r>
        <w:rPr>
          <w:rFonts w:ascii="Arial" w:cs="Arial" w:eastAsia="Arial" w:hAnsi="Arial"/>
          <w:sz w:val="20"/>
          <w:szCs w:val="20"/>
          <w:color w:val="auto"/>
        </w:rPr>
        <w:t>Section 8.3</w:t>
      </w:r>
      <w:r>
        <w:rPr>
          <w:sz w:val="20"/>
          <w:szCs w:val="20"/>
          <w:color w:val="auto"/>
        </w:rPr>
        <w:tab/>
      </w:r>
      <w:r>
        <w:rPr>
          <w:rFonts w:ascii="Arial" w:cs="Arial" w:eastAsia="Arial" w:hAnsi="Arial"/>
          <w:sz w:val="18"/>
          <w:szCs w:val="18"/>
          <w:u w:val="single" w:color="auto"/>
          <w:color w:val="auto"/>
        </w:rPr>
        <w:t>Additional FIBROGEN Representations and Warranties</w:t>
      </w:r>
      <w:r>
        <w:rPr>
          <w:rFonts w:ascii="Arial" w:cs="Arial" w:eastAsia="Arial" w:hAnsi="Arial"/>
          <w:sz w:val="18"/>
          <w:szCs w:val="18"/>
          <w:color w:val="auto"/>
        </w:rPr>
        <w:t>. FIBROGEN represents and warrants that, as of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Effective Date:</w:t>
      </w:r>
    </w:p>
    <w:p>
      <w:pPr>
        <w:spacing w:after="0" w:line="200" w:lineRule="exact"/>
        <w:rPr>
          <w:sz w:val="20"/>
          <w:szCs w:val="20"/>
          <w:color w:val="auto"/>
        </w:rPr>
      </w:pPr>
    </w:p>
    <w:p>
      <w:pPr>
        <w:jc w:val="both"/>
        <w:ind w:firstLine="1735"/>
        <w:spacing w:after="0" w:line="244" w:lineRule="auto"/>
        <w:tabs>
          <w:tab w:leader="none" w:pos="259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FIBROGEN Controls the Licensed Technology, has sufficient rights, title, and interests thereunder to grant the License. Without limiting the generality of the foregoing, FIBROGEN exclusively owns all Licensed Technology. FIBROGEN has not granted to a Third Party, and FIBROGEN is not under any obligation to grant a Third Party, any rights under the Licensed Technology in the Territory or otherwise assign or license to any Third Party any rights to Patents Rights or Know-How that would otherwise constitute the Licensed Technology;</w:t>
      </w:r>
    </w:p>
    <w:p>
      <w:pPr>
        <w:spacing w:after="0" w:line="194" w:lineRule="exact"/>
        <w:rPr>
          <w:rFonts w:ascii="Arial" w:cs="Arial" w:eastAsia="Arial" w:hAnsi="Arial"/>
          <w:sz w:val="20"/>
          <w:szCs w:val="20"/>
          <w:color w:val="auto"/>
        </w:rPr>
      </w:pPr>
    </w:p>
    <w:p>
      <w:pPr>
        <w:jc w:val="both"/>
        <w:ind w:firstLine="1735"/>
        <w:spacing w:after="0" w:line="263" w:lineRule="auto"/>
        <w:tabs>
          <w:tab w:leader="none" w:pos="260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The FIBROGEN Patents listed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constitute all of the Patent Rights Controlled by FIBROGEN as of the Effective Date that are necessary or reasonably useful for the Exploitation of the Product(s) in the Field in the Territory, and to FIBROGEN’s knowledge, the Know-How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constitutes all of the Know-How Controlled by FIBROGEN as of the Effective Date necessary or reasonably useful for the Exploitation of the Product(s) in the Field in the Territory;</w:t>
      </w:r>
    </w:p>
    <w:p>
      <w:pPr>
        <w:spacing w:after="0" w:line="176" w:lineRule="exact"/>
        <w:rPr>
          <w:rFonts w:ascii="Arial" w:cs="Arial" w:eastAsia="Arial" w:hAnsi="Arial"/>
          <w:sz w:val="19"/>
          <w:szCs w:val="19"/>
          <w:color w:val="auto"/>
        </w:rPr>
      </w:pPr>
    </w:p>
    <w:p>
      <w:pPr>
        <w:jc w:val="both"/>
        <w:ind w:firstLine="1735"/>
        <w:spacing w:after="0" w:line="243" w:lineRule="auto"/>
        <w:tabs>
          <w:tab w:leader="none" w:pos="259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The inventors named in each FIBROGEN Patent have each assigned to FIBROGEN their respective entire right, title and interest in and to such FIBROGEN Patent. The Patent Rights listed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are not subject to any liens or encumbrances. None of the FIBROGEN Patents are in-licensed by FIBROGEN. No patent application or registration within the FIBROGEN Patents is the subject of any pending interference, opposition, cancellation or patent protest pursuant to 37 C.F.R. §1.291 (or any non-U.S. equivalent) unless otherwise noted on </w:t>
      </w:r>
      <w:r>
        <w:rPr>
          <w:rFonts w:ascii="Arial" w:cs="Arial" w:eastAsia="Arial" w:hAnsi="Arial"/>
          <w:sz w:val="20"/>
          <w:szCs w:val="20"/>
          <w:u w:val="single" w:color="auto"/>
          <w:color w:val="auto"/>
        </w:rPr>
        <w:t>Exhibit B</w:t>
      </w:r>
      <w:r>
        <w:rPr>
          <w:rFonts w:ascii="Arial" w:cs="Arial" w:eastAsia="Arial" w:hAnsi="Arial"/>
          <w:sz w:val="20"/>
          <w:szCs w:val="20"/>
          <w:color w:val="auto"/>
        </w:rPr>
        <w:t>. To FIBROGEN’s knowledge, the FIBROGEN Patents are, or, upon issuance, will be, valid and enforceable;</w:t>
      </w:r>
    </w:p>
    <w:p>
      <w:pPr>
        <w:spacing w:after="0" w:line="195" w:lineRule="exact"/>
        <w:rPr>
          <w:rFonts w:ascii="Arial" w:cs="Arial" w:eastAsia="Arial" w:hAnsi="Arial"/>
          <w:sz w:val="20"/>
          <w:szCs w:val="20"/>
          <w:color w:val="auto"/>
        </w:rPr>
      </w:pPr>
    </w:p>
    <w:p>
      <w:pPr>
        <w:jc w:val="both"/>
        <w:ind w:firstLine="1735"/>
        <w:spacing w:after="0" w:line="276" w:lineRule="auto"/>
        <w:tabs>
          <w:tab w:leader="none" w:pos="260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To FIBROGEN’s knowledge, except in relation to the patent listed on </w:t>
      </w:r>
      <w:r>
        <w:rPr>
          <w:rFonts w:ascii="Arial" w:cs="Arial" w:eastAsia="Arial" w:hAnsi="Arial"/>
          <w:sz w:val="18"/>
          <w:szCs w:val="18"/>
          <w:u w:val="single" w:color="auto"/>
          <w:color w:val="auto"/>
        </w:rPr>
        <w:t>Exhibit E</w:t>
      </w:r>
      <w:r>
        <w:rPr>
          <w:rFonts w:ascii="Arial" w:cs="Arial" w:eastAsia="Arial" w:hAnsi="Arial"/>
          <w:sz w:val="18"/>
          <w:szCs w:val="18"/>
          <w:color w:val="auto"/>
        </w:rPr>
        <w:t>, the Exploitation of the Licensed Technology as contemplated under this Agreement, (i) does not and will not infringe any issued patent of any Third Party or misappropriate any Know-How or other intellectual property of any Third Party and (ii) will not infringe the claims of any Third Party patent application when and if such claims were to issue in their current form. FIBROGEN has no knowledge of any claim or litigation that has been brought or threatened in writing by any Third Party alleging that the FIBROGEN Patents are invalid or unenforceable or that the Exploitation of the Products in the Field infringes or misappropriates or would infringe or misappropriate any right of any Third Party;</w:t>
      </w:r>
    </w:p>
    <w:p>
      <w:pPr>
        <w:spacing w:after="0" w:line="164" w:lineRule="exact"/>
        <w:rPr>
          <w:rFonts w:ascii="Arial" w:cs="Arial" w:eastAsia="Arial" w:hAnsi="Arial"/>
          <w:sz w:val="18"/>
          <w:szCs w:val="18"/>
          <w:color w:val="auto"/>
        </w:rPr>
      </w:pPr>
    </w:p>
    <w:p>
      <w:pPr>
        <w:jc w:val="both"/>
        <w:ind w:firstLine="1735"/>
        <w:spacing w:after="0" w:line="250" w:lineRule="auto"/>
        <w:tabs>
          <w:tab w:leader="none" w:pos="259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FIBROGEN has complied with all Laws applicable to the prosecution and maintenance of the FIBROGEN Patents and FIBROGEN and its subcontractors have complied with all Laws applicable to the research, development and manufacture of the Products;</w:t>
      </w:r>
    </w:p>
    <w:p>
      <w:pPr>
        <w:spacing w:after="0" w:line="185" w:lineRule="exact"/>
        <w:rPr>
          <w:rFonts w:ascii="Arial" w:cs="Arial" w:eastAsia="Arial" w:hAnsi="Arial"/>
          <w:sz w:val="20"/>
          <w:szCs w:val="20"/>
          <w:color w:val="auto"/>
        </w:rPr>
      </w:pPr>
    </w:p>
    <w:p>
      <w:pPr>
        <w:jc w:val="both"/>
        <w:ind w:firstLine="1735"/>
        <w:spacing w:after="0" w:line="250" w:lineRule="auto"/>
        <w:tabs>
          <w:tab w:leader="none" w:pos="257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All information with respect to this Agreement provided by or on behalf of FIBROGEN to ELUMINEX, its Affiliates, or its or their respective agents or representatives prior to the Effective Date was and is true, accurate and complete in all material respects;</w:t>
      </w:r>
    </w:p>
    <w:p>
      <w:pPr>
        <w:spacing w:after="0" w:line="185" w:lineRule="exact"/>
        <w:rPr>
          <w:rFonts w:ascii="Arial" w:cs="Arial" w:eastAsia="Arial" w:hAnsi="Arial"/>
          <w:sz w:val="20"/>
          <w:szCs w:val="20"/>
          <w:color w:val="auto"/>
        </w:rPr>
      </w:pPr>
    </w:p>
    <w:p>
      <w:pPr>
        <w:jc w:val="both"/>
        <w:ind w:firstLine="1735"/>
        <w:spacing w:after="0" w:line="278" w:lineRule="auto"/>
        <w:tabs>
          <w:tab w:leader="none" w:pos="260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funding, facilities, or personnel of any Governmental Authority or any public or private educational or research institutions were used to develop or create any Licensed Technology and neither FIBROGEN nor any of its Affiliates has entered into a government funding relationship that would result in rights to any Products residing in the U.S. Government, the National Institutes of Health, or other government agency, and the licenses granted hereunder are not subject to overriding obligations to the U.S. Government as set forth in 35 U.S.C. §§ 200 et seq., or any similar obligations under the Laws of any other country in the Territory.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18" w:lineRule="exact"/>
        <w:rPr>
          <w:sz w:val="20"/>
          <w:szCs w:val="20"/>
          <w:color w:val="auto"/>
        </w:rPr>
      </w:pPr>
    </w:p>
    <w:p>
      <w:pPr>
        <w:ind w:right="20" w:firstLine="8"/>
        <w:spacing w:after="0" w:line="258" w:lineRule="auto"/>
        <w:tabs>
          <w:tab w:leader="none" w:pos="2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3" w:name="page114"/>
    <w:bookmarkEnd w:id="113"/>
    <w:p>
      <w:pPr>
        <w:jc w:val="both"/>
        <w:ind w:firstLine="1080"/>
        <w:spacing w:after="0" w:line="253" w:lineRule="auto"/>
        <w:rPr>
          <w:sz w:val="20"/>
          <w:szCs w:val="20"/>
          <w:color w:val="auto"/>
        </w:rPr>
      </w:pPr>
      <w:r>
        <w:rPr>
          <w:rFonts w:ascii="Arial" w:cs="Arial" w:eastAsia="Arial" w:hAnsi="Arial"/>
          <w:sz w:val="19"/>
          <w:szCs w:val="19"/>
          <w:color w:val="auto"/>
        </w:rPr>
        <w:t xml:space="preserve">Section 8.4 </w:t>
      </w:r>
      <w:r>
        <w:rPr>
          <w:rFonts w:ascii="Arial" w:cs="Arial" w:eastAsia="Arial" w:hAnsi="Arial"/>
          <w:sz w:val="19"/>
          <w:szCs w:val="19"/>
          <w:u w:val="single" w:color="auto"/>
          <w:color w:val="auto"/>
        </w:rPr>
        <w:t>Disclaimer</w:t>
      </w:r>
      <w:r>
        <w:rPr>
          <w:rFonts w:ascii="Arial" w:cs="Arial" w:eastAsia="Arial" w:hAnsi="Arial"/>
          <w:sz w:val="19"/>
          <w:szCs w:val="19"/>
          <w:color w:val="auto"/>
        </w:rPr>
        <w:t>. EXCEPT AS OTHERWISE EXPRESSLY SET FORTH IN THIS ARTICLE 8, NEITHER PARTY MAKES ANY REPRESENTATIONS OR EXTENDS ANY WARRANTIES OF ANY KIND UNDER THIS AGREEMENT, EITHER EXPRESS OR IMPLIED, INCLUDING WARRANTIES OF MERCHANTABILITY, QUALITY, FITNESS FOR A PARTICULAR PURPOSE, NONINFRINGEMENT, OR VALIDITY OF PATENT CLAIMS. NOTHING IN THIS AGREEMENT SHALL BE CONSTRUED AS A REPRESENTATION MADE OR WARRANTY GIVEN BY EITHER PARTY THAT EITHER PARTY WILL BE SUCCESSFUL IN OBTAINING ANY PATENT RIGHTS, OR THAT ANY PATENTS WILL ISSUE BASED ON A PENDING APPLICATION. WITHOUT LIMITING THE RESPECTIVE RIGHTS AND OBLIGATIONS OF THE PARTIES EXPRESSLY SET FORTH HEREIN, EACH PARTY SPECIFICALLY DISCLAIMS ANY GUARANTEE THAT ANY PRODUCTS WILL BE SUCCESSFUL, IN WHOLE OR IN PART. EXCEPT AS EXPRESSLY PROVIDED HEREIN, FIBROGEN DISCLAIMS ANY WARRANTY WITH RESPECT TO THE LICENSED TECHNOLOGY, THE INVENTION(S) CLAIMED IN THE FIBROGEN PATENTS OR WITH RESPECT TO THE FIBROGEN PATENTS THEMSELVES, INCLUDING BUT NOT LIMITED TO, ANY REPRESENTATIONS OR WARRANTIES ABOUT (I) THE VALIDITY, SCOPE OR ENFORCEABILITY OF ANY OF THE FIBROGEN PATENTS; (II) THE ACCURACY, SAFETY OR USEFULNESS FOR ANY PURPOSE OF ANY INFORMATION PROVIDED BY FIBROGEN TO ELUMINEX WITH RESPECT TO THE INVENTION(S) CLAIMED IN THE FIBROGEN PATENTS OR WITH RESPECT TO THE FIBROGEN PATENTS THEMSELVES AND ANY PRODUCTS DEVELOPED FROM OR COVERED BY THEM;</w:t>
      </w:r>
    </w:p>
    <w:p>
      <w:pPr>
        <w:spacing w:after="0" w:line="4" w:lineRule="exact"/>
        <w:rPr>
          <w:sz w:val="20"/>
          <w:szCs w:val="20"/>
          <w:color w:val="auto"/>
        </w:rPr>
      </w:pPr>
    </w:p>
    <w:p>
      <w:pPr>
        <w:jc w:val="both"/>
        <w:ind w:firstLine="8"/>
        <w:spacing w:after="0"/>
        <w:tabs>
          <w:tab w:leader="none" w:pos="43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WHETHER THE PRACTICE OF ANY CLAIM CONTAINED IN ANY OF THE FIBROGEN PATENTS WILL OR MIGHT INFRINGE A PATENT OR OTHER INTELLECTUAL PROPERTY RIGHT OWNED OR LICENSED BY A THIRD PARTY; (IV) THE PATENTABILITY OF ANY INVENTION CLAIMED IN THE FIBROGEN PATENTS; OR (V) THE SAFETY OR USEFULNESS FOR ANY PURPOSE OF THE LICENSED TECHNOLOGY OR ANY PRODUCT OR PROCESS MADE OR CARRIED OUT IN ACCORDANCE WITH OR THROUGH THE USE OF THE FIBROGEN PATENTS.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INDEMNIFICATION</w:t>
      </w:r>
    </w:p>
    <w:p>
      <w:pPr>
        <w:spacing w:after="0" w:line="200"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9"/>
          <w:szCs w:val="19"/>
          <w:u w:val="single" w:color="auto"/>
          <w:color w:val="auto"/>
        </w:rPr>
        <w:t>Indemnity</w:t>
      </w:r>
      <w:r>
        <w:rPr>
          <w:rFonts w:ascii="Arial" w:cs="Arial" w:eastAsia="Arial" w:hAnsi="Arial"/>
          <w:sz w:val="19"/>
          <w:szCs w:val="19"/>
          <w:color w:val="auto"/>
        </w:rPr>
        <w:t>.</w:t>
      </w:r>
    </w:p>
    <w:p>
      <w:pPr>
        <w:spacing w:after="0" w:line="21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0"/>
          <w:szCs w:val="20"/>
          <w:color w:val="010000"/>
        </w:rPr>
        <w:t xml:space="preserve">9.1.1 </w:t>
      </w:r>
      <w:r>
        <w:rPr>
          <w:rFonts w:ascii="Arial" w:cs="Arial" w:eastAsia="Arial" w:hAnsi="Arial"/>
          <w:sz w:val="20"/>
          <w:szCs w:val="20"/>
          <w:u w:val="single" w:color="auto"/>
          <w:color w:val="000000"/>
        </w:rPr>
        <w:t>By ELUMINEX</w:t>
      </w:r>
      <w:r>
        <w:rPr>
          <w:rFonts w:ascii="Arial" w:cs="Arial" w:eastAsia="Arial" w:hAnsi="Arial"/>
          <w:sz w:val="20"/>
          <w:szCs w:val="20"/>
          <w:color w:val="000000"/>
        </w:rPr>
        <w:t>. ELUMINEX agrees to defend FIBROGEN and its directors, officers, employees and</w:t>
      </w:r>
      <w:r>
        <w:rPr>
          <w:rFonts w:ascii="Arial" w:cs="Arial" w:eastAsia="Arial" w:hAnsi="Arial"/>
          <w:sz w:val="20"/>
          <w:szCs w:val="20"/>
          <w:color w:val="010000"/>
        </w:rPr>
        <w:t xml:space="preserve"> </w:t>
      </w:r>
      <w:r>
        <w:rPr>
          <w:rFonts w:ascii="Arial" w:cs="Arial" w:eastAsia="Arial" w:hAnsi="Arial"/>
          <w:sz w:val="20"/>
          <w:szCs w:val="20"/>
          <w:color w:val="000000"/>
        </w:rPr>
        <w:t>agents (the “</w:t>
      </w:r>
      <w:r>
        <w:rPr>
          <w:rFonts w:ascii="Arial" w:cs="Arial" w:eastAsia="Arial" w:hAnsi="Arial"/>
          <w:sz w:val="20"/>
          <w:szCs w:val="20"/>
          <w:b w:val="1"/>
          <w:bCs w:val="1"/>
          <w:color w:val="000000"/>
        </w:rPr>
        <w:t>FIBROGEN Indemnified Parties</w:t>
      </w:r>
      <w:r>
        <w:rPr>
          <w:rFonts w:ascii="Arial" w:cs="Arial" w:eastAsia="Arial" w:hAnsi="Arial"/>
          <w:sz w:val="20"/>
          <w:szCs w:val="20"/>
          <w:color w:val="000000"/>
        </w:rPr>
        <w:t>”) [*], and shall indemnify and hold FIBROGEN and the other FIBROGEN Indemnified Parties harmless from and against any claims, losses, costs, damages, fees or expenses (including legal fees and expenses) (collectively, “</w:t>
      </w:r>
      <w:r>
        <w:rPr>
          <w:rFonts w:ascii="Arial" w:cs="Arial" w:eastAsia="Arial" w:hAnsi="Arial"/>
          <w:sz w:val="20"/>
          <w:szCs w:val="20"/>
          <w:b w:val="1"/>
          <w:bCs w:val="1"/>
          <w:color w:val="000000"/>
        </w:rPr>
        <w:t>Losses</w:t>
      </w:r>
      <w:r>
        <w:rPr>
          <w:rFonts w:ascii="Arial" w:cs="Arial" w:eastAsia="Arial" w:hAnsi="Arial"/>
          <w:sz w:val="20"/>
          <w:szCs w:val="20"/>
          <w:color w:val="000000"/>
        </w:rPr>
        <w:t>”) to the extent resulting from any Third Party claim (including product liability claims) arising out of or otherwise relating to [*], except to the extent such Losses arise out of any claim for which FIBROGEN has an obligation to indemnify ELUMINEX under Section 9.1.2.</w:t>
      </w:r>
    </w:p>
    <w:p>
      <w:pPr>
        <w:spacing w:after="0" w:line="196"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0"/>
          <w:szCs w:val="20"/>
          <w:color w:val="010000"/>
        </w:rPr>
        <w:t xml:space="preserve">9.1.2 </w:t>
      </w:r>
      <w:r>
        <w:rPr>
          <w:rFonts w:ascii="Arial" w:cs="Arial" w:eastAsia="Arial" w:hAnsi="Arial"/>
          <w:sz w:val="20"/>
          <w:szCs w:val="20"/>
          <w:u w:val="single" w:color="auto"/>
          <w:color w:val="000000"/>
        </w:rPr>
        <w:t>By FIBROGEN</w:t>
      </w:r>
      <w:r>
        <w:rPr>
          <w:rFonts w:ascii="Arial" w:cs="Arial" w:eastAsia="Arial" w:hAnsi="Arial"/>
          <w:sz w:val="20"/>
          <w:szCs w:val="20"/>
          <w:color w:val="000000"/>
        </w:rPr>
        <w:t>. FIBROGEN agrees to defend ELUMINEX and its Affiliates and its and their respective</w:t>
      </w:r>
      <w:r>
        <w:rPr>
          <w:rFonts w:ascii="Arial" w:cs="Arial" w:eastAsia="Arial" w:hAnsi="Arial"/>
          <w:sz w:val="20"/>
          <w:szCs w:val="20"/>
          <w:color w:val="010000"/>
        </w:rPr>
        <w:t xml:space="preserve"> </w:t>
      </w:r>
      <w:r>
        <w:rPr>
          <w:rFonts w:ascii="Arial" w:cs="Arial" w:eastAsia="Arial" w:hAnsi="Arial"/>
          <w:sz w:val="20"/>
          <w:szCs w:val="20"/>
          <w:color w:val="000000"/>
        </w:rPr>
        <w:t>directors, officers, employees and agents (the “</w:t>
      </w:r>
      <w:r>
        <w:rPr>
          <w:rFonts w:ascii="Arial" w:cs="Arial" w:eastAsia="Arial" w:hAnsi="Arial"/>
          <w:sz w:val="20"/>
          <w:szCs w:val="20"/>
          <w:b w:val="1"/>
          <w:bCs w:val="1"/>
          <w:color w:val="000000"/>
        </w:rPr>
        <w:t>ELUMINEX Indemnified Parties</w:t>
      </w:r>
      <w:r>
        <w:rPr>
          <w:rFonts w:ascii="Arial" w:cs="Arial" w:eastAsia="Arial" w:hAnsi="Arial"/>
          <w:sz w:val="20"/>
          <w:szCs w:val="20"/>
          <w:color w:val="000000"/>
        </w:rPr>
        <w:t>”) [*], and shall indemnify and hold ELUMINEX and the other ELUMINEX Indemnified Parties harmless from and against any Losses, to the extent resulting from any Third Party claim (including product liability claims) arising out of or otherwise relating to [*], except to the extent such Losses arise out of any claim for which ELUMINEX has an obligation to indemnify FIBROGEN under Section 9.1.1.</w:t>
      </w:r>
    </w:p>
    <w:p>
      <w:pPr>
        <w:spacing w:after="0" w:line="194"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0"/>
          <w:szCs w:val="20"/>
          <w:color w:val="010000"/>
        </w:rPr>
        <w:t xml:space="preserve">9.1.3 </w:t>
      </w:r>
      <w:r>
        <w:rPr>
          <w:rFonts w:ascii="Arial" w:cs="Arial" w:eastAsia="Arial" w:hAnsi="Arial"/>
          <w:sz w:val="20"/>
          <w:szCs w:val="20"/>
          <w:u w:val="single" w:color="auto"/>
          <w:color w:val="000000"/>
        </w:rPr>
        <w:t>Indemnification Procedures</w:t>
      </w:r>
      <w:r>
        <w:rPr>
          <w:rFonts w:ascii="Arial" w:cs="Arial" w:eastAsia="Arial" w:hAnsi="Arial"/>
          <w:sz w:val="20"/>
          <w:szCs w:val="20"/>
          <w:color w:val="000000"/>
        </w:rPr>
        <w:t>. In the event of any claim against the FIBROGEN Indemnified Parties or the</w:t>
      </w:r>
      <w:r>
        <w:rPr>
          <w:rFonts w:ascii="Arial" w:cs="Arial" w:eastAsia="Arial" w:hAnsi="Arial"/>
          <w:sz w:val="20"/>
          <w:szCs w:val="20"/>
          <w:color w:val="010000"/>
        </w:rPr>
        <w:t xml:space="preserve"> </w:t>
      </w:r>
      <w:r>
        <w:rPr>
          <w:rFonts w:ascii="Arial" w:cs="Arial" w:eastAsia="Arial" w:hAnsi="Arial"/>
          <w:sz w:val="20"/>
          <w:szCs w:val="20"/>
          <w:color w:val="000000"/>
        </w:rPr>
        <w:t>ELUMINEX Indemnified Parties (as applicable) by a Third Party, the indemnity obligations set forth in Sections 9.1.1 and 9.1.2 shall be conditioned upon (x) the indemnified 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18" w:lineRule="exact"/>
        <w:rPr>
          <w:sz w:val="20"/>
          <w:szCs w:val="20"/>
          <w:color w:val="auto"/>
        </w:rPr>
      </w:pPr>
    </w:p>
    <w:p>
      <w:pPr>
        <w:ind w:right="20" w:firstLine="8"/>
        <w:spacing w:after="0" w:line="258" w:lineRule="auto"/>
        <w:tabs>
          <w:tab w:leader="none" w:pos="2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4" w:name="page115"/>
    <w:bookmarkEnd w:id="114"/>
    <w:p>
      <w:pPr>
        <w:jc w:val="both"/>
        <w:spacing w:after="0" w:line="274" w:lineRule="auto"/>
        <w:rPr>
          <w:sz w:val="20"/>
          <w:szCs w:val="20"/>
          <w:color w:val="auto"/>
        </w:rPr>
      </w:pPr>
      <w:r>
        <w:rPr>
          <w:rFonts w:ascii="Arial" w:cs="Arial" w:eastAsia="Arial" w:hAnsi="Arial"/>
          <w:sz w:val="18"/>
          <w:szCs w:val="18"/>
          <w:color w:val="auto"/>
        </w:rPr>
        <w:t>promptly notifying the indemnifying Party in writing of the claim [*] and (y) the indemnified Party granting the indemnifying Party sole management and control, [*], over the defense of the claim and its settlement [*], and (z) the FIBROGEN Indemnified Parties or ELUMINEX Indemnified Parties, as applicable, cooperating with indemnifying Party [*]. If, based on the reasonable advice of counsel to the FIBROGEN Indemnified Parties or ELUMINEX Indemnified Parties (as applicable), the FIBROGEN Indemnified Parties or ELUMINEX Indemnified Parties have separate defenses from indemnifying Party or there is a conflict of interest between the FIBROGEN Indemnified Parties or ELUMINEX Indemnified Parties (as applicable) and indemnifying Party, then the FIBROGEN Indemnified Parties or ELUMINEX Indemnified Parties, as applicable, shall be permitted, [*] to retain counsel of its choosing to represent them in such action or proceeding.</w:t>
      </w:r>
    </w:p>
    <w:p>
      <w:pPr>
        <w:spacing w:after="0" w:line="16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LIMITATION OF DAMAGES</w:t>
      </w:r>
      <w:r>
        <w:rPr>
          <w:rFonts w:ascii="Arial" w:cs="Arial" w:eastAsia="Arial" w:hAnsi="Arial"/>
          <w:sz w:val="19"/>
          <w:szCs w:val="19"/>
          <w:color w:val="auto"/>
        </w:rPr>
        <w:t>. IN NO EVENT SHALL EITHER PARTY BE LIABLE HEREUNDER TO THE OTHER PARTY FOR ANY PUNITIVE, INDIRECT, SPECIAL, INCIDENTAL OR CONSEQUENTIAL DAMAGES (INCLUDING LOST REVENUE, LOST PROFITS, OR LOST SAVINGS) HOWEVER CAUSED AND UNDER ANY THEORY, EVEN IF IT HAS NOTICE OF THE POSSIBILITY OF SUCH DAMAGES. THE LIMITATIONS SET FORTH IN THIS SECTION 9.2 SHALL NOT APPLY WITH RESPECT TO (A) ANY BREACH OF ARTICLE 10, (B) THE INTENTIONAL MISCONDUCT, FRAUD OR GROSS NEGLIGENCE OF A PARTY, OR (C) THE INDEMNIFICATION OBLIGATIONS OF THE PARTIES UNDER THIS ARTICLE 9.</w:t>
      </w:r>
    </w:p>
    <w:p>
      <w:pPr>
        <w:spacing w:after="0" w:line="178"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 xml:space="preserve">Section 9.3 </w:t>
      </w:r>
      <w:r>
        <w:rPr>
          <w:rFonts w:ascii="Arial" w:cs="Arial" w:eastAsia="Arial" w:hAnsi="Arial"/>
          <w:sz w:val="19"/>
          <w:szCs w:val="19"/>
          <w:u w:val="single" w:color="auto"/>
          <w:color w:val="auto"/>
        </w:rPr>
        <w:t>Insurance</w:t>
      </w:r>
      <w:r>
        <w:rPr>
          <w:rFonts w:ascii="Arial" w:cs="Arial" w:eastAsia="Arial" w:hAnsi="Arial"/>
          <w:sz w:val="19"/>
          <w:szCs w:val="19"/>
          <w:color w:val="auto"/>
        </w:rPr>
        <w:t>. At least [*] prior to the Initiation of any Clinical Trial by or on behalf of ELUMINEX or its Affiliates, ELUMINEX shall [*] procure and maintain, during the Term and [*] thereafter, [*] insurance coverage [*]. Additionally, at least</w:t>
      </w:r>
    </w:p>
    <w:p>
      <w:pPr>
        <w:spacing w:after="0" w:line="2" w:lineRule="exact"/>
        <w:rPr>
          <w:sz w:val="20"/>
          <w:szCs w:val="20"/>
          <w:color w:val="auto"/>
        </w:rPr>
      </w:pPr>
    </w:p>
    <w:p>
      <w:pPr>
        <w:jc w:val="both"/>
        <w:ind w:firstLine="8"/>
        <w:spacing w:after="0"/>
        <w:tabs>
          <w:tab w:leader="none" w:pos="287" w:val="left"/>
        </w:tabs>
        <w:numPr>
          <w:ilvl w:val="0"/>
          <w:numId w:val="111"/>
        </w:numPr>
        <w:rPr>
          <w:rFonts w:ascii="Arial" w:cs="Arial" w:eastAsia="Arial" w:hAnsi="Arial"/>
          <w:sz w:val="20"/>
          <w:szCs w:val="20"/>
          <w:color w:val="auto"/>
        </w:rPr>
      </w:pPr>
      <w:r>
        <w:rPr>
          <w:rFonts w:ascii="Arial" w:cs="Arial" w:eastAsia="Arial" w:hAnsi="Arial"/>
          <w:sz w:val="20"/>
          <w:szCs w:val="20"/>
          <w:color w:val="auto"/>
        </w:rPr>
        <w:t>prior to the First Commercial Sale of a Product, ELUMINEX shall [*] procure and maintain [*] product liability insurance coverage [*]. Such insurance shall not be construed to create a limit of ELUMINEX’s liability with respect to its indemnification obligations under this Article 9. ELUMINEX shall provide FIBROGEN with a certificate of insurance or other evidence of such insurance, upon request. ELUMINEX shall provide FIBROGEN with written notice at least [*] prior to the cancellation, non-renewal or a material change in such insurance which materially adversely affects the rights of FIBROGEN hereunder.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CONFIDENTIALITY</w:t>
      </w:r>
    </w:p>
    <w:p>
      <w:pPr>
        <w:spacing w:after="0" w:line="200"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10" w:lineRule="exact"/>
        <w:rPr>
          <w:sz w:val="20"/>
          <w:szCs w:val="20"/>
          <w:color w:val="auto"/>
        </w:rPr>
      </w:pPr>
    </w:p>
    <w:p>
      <w:pPr>
        <w:jc w:val="both"/>
        <w:ind w:firstLine="1727"/>
        <w:spacing w:after="0" w:line="294" w:lineRule="auto"/>
        <w:rPr>
          <w:sz w:val="20"/>
          <w:szCs w:val="20"/>
          <w:color w:val="auto"/>
        </w:rPr>
      </w:pPr>
      <w:r>
        <w:rPr>
          <w:rFonts w:ascii="Arial" w:cs="Arial" w:eastAsia="Arial" w:hAnsi="Arial"/>
          <w:sz w:val="18"/>
          <w:szCs w:val="18"/>
          <w:color w:val="010000"/>
        </w:rPr>
        <w:t xml:space="preserve">10.1.1 </w:t>
      </w:r>
      <w:r>
        <w:rPr>
          <w:rFonts w:ascii="Arial" w:cs="Arial" w:eastAsia="Arial" w:hAnsi="Arial"/>
          <w:sz w:val="18"/>
          <w:szCs w:val="18"/>
          <w:u w:val="single" w:color="auto"/>
          <w:color w:val="000000"/>
        </w:rPr>
        <w:t>Confidential Information</w:t>
      </w:r>
      <w:r>
        <w:rPr>
          <w:rFonts w:ascii="Arial" w:cs="Arial" w:eastAsia="Arial" w:hAnsi="Arial"/>
          <w:sz w:val="18"/>
          <w:szCs w:val="18"/>
          <w:color w:val="000000"/>
        </w:rPr>
        <w:t>. Each Party (the “</w:t>
      </w:r>
      <w:r>
        <w:rPr>
          <w:rFonts w:ascii="Arial" w:cs="Arial" w:eastAsia="Arial" w:hAnsi="Arial"/>
          <w:sz w:val="18"/>
          <w:szCs w:val="18"/>
          <w:b w:val="1"/>
          <w:bCs w:val="1"/>
          <w:color w:val="000000"/>
        </w:rPr>
        <w:t>Disclosing Party</w:t>
      </w:r>
      <w:r>
        <w:rPr>
          <w:rFonts w:ascii="Arial" w:cs="Arial" w:eastAsia="Arial" w:hAnsi="Arial"/>
          <w:sz w:val="18"/>
          <w:szCs w:val="18"/>
          <w:color w:val="000000"/>
        </w:rPr>
        <w:t>”) may disclose to the other Party (the</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b w:val="1"/>
          <w:bCs w:val="1"/>
          <w:color w:val="000000"/>
        </w:rPr>
        <w:t>Receiving Party</w:t>
      </w:r>
      <w:r>
        <w:rPr>
          <w:rFonts w:ascii="Arial" w:cs="Arial" w:eastAsia="Arial" w:hAnsi="Arial"/>
          <w:sz w:val="18"/>
          <w:szCs w:val="18"/>
          <w:color w:val="000000"/>
        </w:rPr>
        <w:t>”), and Receiving Party may acquire during the course and conduct of activities under this Agreement, certain proprietary or confidential information of Disclosing Party in connection with this Agreement. The term “</w:t>
      </w:r>
      <w:r>
        <w:rPr>
          <w:rFonts w:ascii="Arial" w:cs="Arial" w:eastAsia="Arial" w:hAnsi="Arial"/>
          <w:sz w:val="18"/>
          <w:szCs w:val="18"/>
          <w:b w:val="1"/>
          <w:bCs w:val="1"/>
          <w:color w:val="000000"/>
        </w:rPr>
        <w:t>Confidential Information</w:t>
      </w:r>
      <w:r>
        <w:rPr>
          <w:rFonts w:ascii="Arial" w:cs="Arial" w:eastAsia="Arial" w:hAnsi="Arial"/>
          <w:sz w:val="18"/>
          <w:szCs w:val="18"/>
          <w:color w:val="000000"/>
        </w:rPr>
        <w:t>” shall mean [*].</w:t>
      </w:r>
    </w:p>
    <w:p>
      <w:pPr>
        <w:spacing w:after="0" w:line="150"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19"/>
          <w:szCs w:val="19"/>
          <w:color w:val="010000"/>
        </w:rPr>
        <w:t xml:space="preserve">10.1.2 </w:t>
      </w:r>
      <w:r>
        <w:rPr>
          <w:rFonts w:ascii="Arial" w:cs="Arial" w:eastAsia="Arial" w:hAnsi="Arial"/>
          <w:sz w:val="19"/>
          <w:szCs w:val="19"/>
          <w:u w:val="single" w:color="auto"/>
          <w:color w:val="000000"/>
        </w:rPr>
        <w:t>Restrictions</w:t>
      </w:r>
      <w:r>
        <w:rPr>
          <w:rFonts w:ascii="Arial" w:cs="Arial" w:eastAsia="Arial" w:hAnsi="Arial"/>
          <w:sz w:val="19"/>
          <w:szCs w:val="19"/>
          <w:color w:val="000000"/>
        </w:rPr>
        <w:t>. During the Term and for [*] thereafter, the Receiving Party shall keep all of the Disclosing</w:t>
      </w:r>
      <w:r>
        <w:rPr>
          <w:rFonts w:ascii="Arial" w:cs="Arial" w:eastAsia="Arial" w:hAnsi="Arial"/>
          <w:sz w:val="19"/>
          <w:szCs w:val="19"/>
          <w:color w:val="010000"/>
        </w:rPr>
        <w:t xml:space="preserve"> </w:t>
      </w:r>
      <w:r>
        <w:rPr>
          <w:rFonts w:ascii="Arial" w:cs="Arial" w:eastAsia="Arial" w:hAnsi="Arial"/>
          <w:sz w:val="19"/>
          <w:szCs w:val="19"/>
          <w:color w:val="000000"/>
        </w:rPr>
        <w:t>Party’s Confidential Information in confidence with the same degree of care with which the Receiving Party holds its own confidential information (but in no event less than a commercially reasonable degree of care). The Receiving Party shall not use the Disclosing Party’s Confidential Information except in connection with the performance of its obligations and exercise of its rights under this Agreement. Notwithstanding the foregoing, the Receiving Party has the right to disclose the Disclosing Party’s Confidential Information without the Disclosing Party’s prior written consent, solely to the extent reasonably necessary, to the Receiving Party’s Affiliates and its and their respective employees, subcontractors, consultants or agents who have a need to know such Confidential Information in order to perform its obligations and exercise its rights under this Agreement and who are bound by written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18" w:lineRule="exact"/>
        <w:rPr>
          <w:sz w:val="20"/>
          <w:szCs w:val="20"/>
          <w:color w:val="auto"/>
        </w:rPr>
      </w:pPr>
    </w:p>
    <w:p>
      <w:pPr>
        <w:ind w:right="20" w:firstLine="8"/>
        <w:spacing w:after="0" w:line="258" w:lineRule="auto"/>
        <w:tabs>
          <w:tab w:leader="none" w:pos="2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5" w:name="page116"/>
    <w:bookmarkEnd w:id="115"/>
    <w:p>
      <w:pPr>
        <w:jc w:val="both"/>
        <w:spacing w:after="0" w:line="246" w:lineRule="auto"/>
        <w:rPr>
          <w:sz w:val="20"/>
          <w:szCs w:val="20"/>
          <w:color w:val="auto"/>
        </w:rPr>
      </w:pPr>
      <w:r>
        <w:rPr>
          <w:rFonts w:ascii="Arial" w:cs="Arial" w:eastAsia="Arial" w:hAnsi="Arial"/>
          <w:sz w:val="20"/>
          <w:szCs w:val="20"/>
          <w:color w:val="auto"/>
        </w:rPr>
        <w:t>obligations of non-disclosure and non-use at least as stringent as those set forth in this Article 10. The Receiving Party shall use diligent efforts to cause those entities and persons to comply with such restrictions on use and disclosure. The Receiving Party assumes responsibility for those entities and persons maintaining the Disclosing Party’s Confidential Information in confidence and using same only for the purposes described herein.</w:t>
      </w:r>
    </w:p>
    <w:p>
      <w:pPr>
        <w:spacing w:after="0" w:line="191" w:lineRule="exact"/>
        <w:rPr>
          <w:sz w:val="20"/>
          <w:szCs w:val="20"/>
          <w:color w:val="auto"/>
        </w:rPr>
      </w:pPr>
    </w:p>
    <w:p>
      <w:pPr>
        <w:jc w:val="both"/>
        <w:ind w:firstLine="1727"/>
        <w:spacing w:after="0" w:line="242" w:lineRule="auto"/>
        <w:rPr>
          <w:sz w:val="20"/>
          <w:szCs w:val="20"/>
          <w:color w:val="auto"/>
        </w:rPr>
      </w:pPr>
      <w:r>
        <w:rPr>
          <w:rFonts w:ascii="Arial" w:cs="Arial" w:eastAsia="Arial" w:hAnsi="Arial"/>
          <w:sz w:val="20"/>
          <w:szCs w:val="20"/>
          <w:color w:val="010000"/>
        </w:rPr>
        <w:t xml:space="preserve">10.1.3 </w:t>
      </w:r>
      <w:r>
        <w:rPr>
          <w:rFonts w:ascii="Arial" w:cs="Arial" w:eastAsia="Arial" w:hAnsi="Arial"/>
          <w:sz w:val="20"/>
          <w:szCs w:val="20"/>
          <w:u w:val="single" w:color="auto"/>
          <w:color w:val="000000"/>
        </w:rPr>
        <w:t>Exceptions</w:t>
      </w:r>
      <w:r>
        <w:rPr>
          <w:rFonts w:ascii="Arial" w:cs="Arial" w:eastAsia="Arial" w:hAnsi="Arial"/>
          <w:sz w:val="20"/>
          <w:szCs w:val="20"/>
          <w:color w:val="000000"/>
        </w:rPr>
        <w:t>. The Receiving Party’s obligation of nondisclosure and the limitations upon the right to use</w:t>
      </w:r>
      <w:r>
        <w:rPr>
          <w:rFonts w:ascii="Arial" w:cs="Arial" w:eastAsia="Arial" w:hAnsi="Arial"/>
          <w:sz w:val="20"/>
          <w:szCs w:val="20"/>
          <w:color w:val="010000"/>
        </w:rPr>
        <w:t xml:space="preserve"> </w:t>
      </w:r>
      <w:r>
        <w:rPr>
          <w:rFonts w:ascii="Arial" w:cs="Arial" w:eastAsia="Arial" w:hAnsi="Arial"/>
          <w:sz w:val="20"/>
          <w:szCs w:val="20"/>
          <w:color w:val="000000"/>
        </w:rPr>
        <w:t>the Disclosing Party’s Confidential Information shall not apply to the extent that the Receiving Party can demonstrate that the Disclosing Party’s Confidential Information: (a) was known to the Receiving Party or any of its Affiliates prior to the time of disclosure; (b) is or becomes public knowledge through no fault or omission of the Receiving Party or any of its Affiliates or Persons to whom the Receiving Party has provided the information in accordance with Section 10.1.2; (c) is obtained by the Receiving Party or any of its Affiliates from a Third Party under no obligation of confidentiality to the Disclosing Party; or (d) has been independently developed by employees, subcontractors, consultants or agents of the Receiving Party or any of its Affiliates without the use of the Disclosing Party’s Confidential Information, as evidenced by contemporaneous written records.</w:t>
      </w:r>
    </w:p>
    <w:p>
      <w:pPr>
        <w:spacing w:after="0" w:line="197"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0"/>
          <w:szCs w:val="20"/>
          <w:color w:val="010000"/>
        </w:rPr>
        <w:t xml:space="preserve">10.1.4 </w:t>
      </w:r>
      <w:r>
        <w:rPr>
          <w:rFonts w:ascii="Arial" w:cs="Arial" w:eastAsia="Arial" w:hAnsi="Arial"/>
          <w:sz w:val="20"/>
          <w:szCs w:val="20"/>
          <w:u w:val="single" w:color="auto"/>
          <w:color w:val="000000"/>
        </w:rPr>
        <w:t>Permitted Disclosures</w:t>
      </w:r>
      <w:r>
        <w:rPr>
          <w:rFonts w:ascii="Arial" w:cs="Arial" w:eastAsia="Arial" w:hAnsi="Arial"/>
          <w:sz w:val="20"/>
          <w:szCs w:val="20"/>
          <w:color w:val="000000"/>
        </w:rPr>
        <w:t>. The Receiving Party may disclose the Disclosing Party’s Confidential</w:t>
      </w:r>
      <w:r>
        <w:rPr>
          <w:rFonts w:ascii="Arial" w:cs="Arial" w:eastAsia="Arial" w:hAnsi="Arial"/>
          <w:sz w:val="20"/>
          <w:szCs w:val="20"/>
          <w:color w:val="010000"/>
        </w:rPr>
        <w:t xml:space="preserve"> </w:t>
      </w:r>
      <w:r>
        <w:rPr>
          <w:rFonts w:ascii="Arial" w:cs="Arial" w:eastAsia="Arial" w:hAnsi="Arial"/>
          <w:sz w:val="20"/>
          <w:szCs w:val="20"/>
          <w:color w:val="000000"/>
        </w:rPr>
        <w:t>Information to the extent (and only to the extent) such disclosure is reasonably necessary in the following instances:</w:t>
      </w:r>
    </w:p>
    <w:p>
      <w:pPr>
        <w:spacing w:after="0" w:line="177" w:lineRule="exact"/>
        <w:rPr>
          <w:sz w:val="20"/>
          <w:szCs w:val="20"/>
          <w:color w:val="auto"/>
        </w:rPr>
      </w:pPr>
    </w:p>
    <w:p>
      <w:pPr>
        <w:ind w:right="20" w:firstLine="1735"/>
        <w:spacing w:after="0" w:line="260" w:lineRule="auto"/>
        <w:tabs>
          <w:tab w:leader="none" w:pos="259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 order to comply with applicable Laws (including any securities law or regulation or the rules of a securities exchange) or with a legal or administrative proceeding;</w:t>
      </w:r>
    </w:p>
    <w:p>
      <w:pPr>
        <w:spacing w:after="0" w:line="176" w:lineRule="exact"/>
        <w:rPr>
          <w:rFonts w:ascii="Arial" w:cs="Arial" w:eastAsia="Arial" w:hAnsi="Arial"/>
          <w:sz w:val="20"/>
          <w:szCs w:val="20"/>
          <w:color w:val="auto"/>
        </w:rPr>
      </w:pPr>
    </w:p>
    <w:p>
      <w:pPr>
        <w:jc w:val="both"/>
        <w:ind w:firstLine="1735"/>
        <w:spacing w:after="0" w:line="250" w:lineRule="auto"/>
        <w:tabs>
          <w:tab w:leader="none" w:pos="260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 connection with prosecuting or defending litigation, Regulatory Approvals and other Regulatory Filings and communications, and filing, prosecuting and enforcing Patent Rights in connection with the Receiving Party’s rights and obligations pursuant to this Agreement; and</w:t>
      </w:r>
    </w:p>
    <w:p>
      <w:pPr>
        <w:spacing w:after="0" w:line="185" w:lineRule="exact"/>
        <w:rPr>
          <w:rFonts w:ascii="Arial" w:cs="Arial" w:eastAsia="Arial" w:hAnsi="Arial"/>
          <w:sz w:val="20"/>
          <w:szCs w:val="20"/>
          <w:color w:val="auto"/>
        </w:rPr>
      </w:pPr>
    </w:p>
    <w:p>
      <w:pPr>
        <w:jc w:val="both"/>
        <w:ind w:firstLine="1735"/>
        <w:spacing w:after="0" w:line="250" w:lineRule="auto"/>
        <w:tabs>
          <w:tab w:leader="none" w:pos="259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 connection with exercising its rights hereunder, to its Affiliates; potential and future collaborators (including Sublicensees where ELUMINEX is the Receiving Party); potential and permitted acquirers or assignees; potential investment bankers, investors and lenders; and the professional advisors of the foregoing;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w:t>
      </w:r>
    </w:p>
    <w:p>
      <w:pPr>
        <w:spacing w:after="0" w:line="216"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8"/>
          <w:szCs w:val="18"/>
          <w:u w:val="single" w:color="auto"/>
          <w:color w:val="auto"/>
        </w:rPr>
        <w:t>Terms of this Agreement; Publicity</w:t>
      </w:r>
      <w:r>
        <w:rPr>
          <w:rFonts w:ascii="Arial" w:cs="Arial" w:eastAsia="Arial" w:hAnsi="Arial"/>
          <w:sz w:val="18"/>
          <w:szCs w:val="18"/>
          <w:color w:val="auto"/>
        </w:rPr>
        <w:t>.</w:t>
      </w:r>
    </w:p>
    <w:p>
      <w:pPr>
        <w:spacing w:after="0" w:line="216" w:lineRule="exact"/>
        <w:rPr>
          <w:sz w:val="20"/>
          <w:szCs w:val="20"/>
          <w:color w:val="auto"/>
        </w:rPr>
      </w:pPr>
    </w:p>
    <w:p>
      <w:pPr>
        <w:jc w:val="both"/>
        <w:ind w:firstLine="1727"/>
        <w:spacing w:after="0" w:line="242" w:lineRule="auto"/>
        <w:rPr>
          <w:sz w:val="20"/>
          <w:szCs w:val="20"/>
          <w:color w:val="auto"/>
        </w:rPr>
      </w:pPr>
      <w:r>
        <w:rPr>
          <w:rFonts w:ascii="Arial" w:cs="Arial" w:eastAsia="Arial" w:hAnsi="Arial"/>
          <w:sz w:val="20"/>
          <w:szCs w:val="20"/>
          <w:color w:val="010000"/>
        </w:rPr>
        <w:t xml:space="preserve">10.2.1 </w:t>
      </w:r>
      <w:r>
        <w:rPr>
          <w:rFonts w:ascii="Arial" w:cs="Arial" w:eastAsia="Arial" w:hAnsi="Arial"/>
          <w:sz w:val="20"/>
          <w:szCs w:val="20"/>
          <w:u w:val="single" w:color="auto"/>
          <w:color w:val="000000"/>
        </w:rPr>
        <w:t>Restrictions</w:t>
      </w:r>
      <w:r>
        <w:rPr>
          <w:rFonts w:ascii="Arial" w:cs="Arial" w:eastAsia="Arial" w:hAnsi="Arial"/>
          <w:sz w:val="20"/>
          <w:szCs w:val="20"/>
          <w:color w:val="000000"/>
        </w:rPr>
        <w:t>. The Parties agree that the terms of this Agreement shall be treated as Confidential</w:t>
      </w:r>
      <w:r>
        <w:rPr>
          <w:rFonts w:ascii="Arial" w:cs="Arial" w:eastAsia="Arial" w:hAnsi="Arial"/>
          <w:sz w:val="20"/>
          <w:szCs w:val="20"/>
          <w:color w:val="010000"/>
        </w:rPr>
        <w:t xml:space="preserve"> </w:t>
      </w:r>
      <w:r>
        <w:rPr>
          <w:rFonts w:ascii="Arial" w:cs="Arial" w:eastAsia="Arial" w:hAnsi="Arial"/>
          <w:sz w:val="20"/>
          <w:szCs w:val="20"/>
          <w:color w:val="000000"/>
        </w:rPr>
        <w:t xml:space="preserve">Information of both Parties, and thus may be disclosed only as permitted by Section 10.1.4. Notwithstanding the foregoing, the Parties shall issue a joint press release in form and substance materially similar to </w:t>
      </w:r>
      <w:r>
        <w:rPr>
          <w:rFonts w:ascii="Arial" w:cs="Arial" w:eastAsia="Arial" w:hAnsi="Arial"/>
          <w:sz w:val="20"/>
          <w:szCs w:val="20"/>
          <w:u w:val="single" w:color="auto"/>
          <w:color w:val="000000"/>
        </w:rPr>
        <w:t>Exhibit F</w:t>
      </w:r>
      <w:r>
        <w:rPr>
          <w:rFonts w:ascii="Arial" w:cs="Arial" w:eastAsia="Arial" w:hAnsi="Arial"/>
          <w:sz w:val="20"/>
          <w:szCs w:val="20"/>
          <w:color w:val="000000"/>
        </w:rPr>
        <w:t xml:space="preserve"> promptly after the execution and delivery of this Agreement by both Parties at a time mutually agreed (the “</w:t>
      </w:r>
      <w:r>
        <w:rPr>
          <w:rFonts w:ascii="Arial" w:cs="Arial" w:eastAsia="Arial" w:hAnsi="Arial"/>
          <w:sz w:val="20"/>
          <w:szCs w:val="20"/>
          <w:b w:val="1"/>
          <w:bCs w:val="1"/>
          <w:color w:val="000000"/>
        </w:rPr>
        <w:t>Joint Press Release</w:t>
      </w:r>
      <w:r>
        <w:rPr>
          <w:rFonts w:ascii="Arial" w:cs="Arial" w:eastAsia="Arial" w:hAnsi="Arial"/>
          <w:sz w:val="20"/>
          <w:szCs w:val="20"/>
          <w:color w:val="000000"/>
        </w:rPr>
        <w:t xml:space="preserve">”). Except as required by Law or as mutually agreed upon by the Parties, each Party agrees not to issue any Release (other than the Joint Press Release) disclosing information relating to this Agreement or the transactions contemplated hereby or the terms hereof without the prior written consent of the other Party [*]. Either Party may subsequently publicly disclose any information previously contained in any Release, </w:t>
      </w:r>
      <w:r>
        <w:rPr>
          <w:rFonts w:ascii="Arial" w:cs="Arial" w:eastAsia="Arial" w:hAnsi="Arial"/>
          <w:sz w:val="20"/>
          <w:szCs w:val="20"/>
          <w:i w:val="1"/>
          <w:iCs w:val="1"/>
          <w:color w:val="000000"/>
        </w:rPr>
        <w:t>provided</w:t>
      </w:r>
      <w:r>
        <w:rPr>
          <w:rFonts w:ascii="Arial" w:cs="Arial" w:eastAsia="Arial" w:hAnsi="Arial"/>
          <w:sz w:val="20"/>
          <w:szCs w:val="20"/>
          <w:color w:val="000000"/>
        </w:rPr>
        <w:t xml:space="preserve"> that the other Party initially provided its written consent thereto as stated in Section 10.2.1.</w:t>
      </w:r>
    </w:p>
    <w:p>
      <w:pPr>
        <w:spacing w:after="0" w:line="191" w:lineRule="exact"/>
        <w:rPr>
          <w:sz w:val="20"/>
          <w:szCs w:val="20"/>
          <w:color w:val="auto"/>
        </w:rPr>
      </w:pPr>
    </w:p>
    <w:p>
      <w:pPr>
        <w:jc w:val="both"/>
        <w:ind w:firstLine="1727"/>
        <w:spacing w:after="0" w:line="267" w:lineRule="auto"/>
        <w:rPr>
          <w:sz w:val="20"/>
          <w:szCs w:val="20"/>
          <w:color w:val="auto"/>
        </w:rPr>
      </w:pPr>
      <w:r>
        <w:rPr>
          <w:rFonts w:ascii="Arial" w:cs="Arial" w:eastAsia="Arial" w:hAnsi="Arial"/>
          <w:sz w:val="20"/>
          <w:szCs w:val="20"/>
          <w:color w:val="010000"/>
        </w:rPr>
        <w:t xml:space="preserve">10.2.2 </w:t>
      </w:r>
      <w:r>
        <w:rPr>
          <w:rFonts w:ascii="Arial" w:cs="Arial" w:eastAsia="Arial" w:hAnsi="Arial"/>
          <w:sz w:val="20"/>
          <w:szCs w:val="20"/>
          <w:u w:val="single" w:color="auto"/>
          <w:color w:val="000000"/>
        </w:rPr>
        <w:t>Review</w:t>
      </w:r>
      <w:r>
        <w:rPr>
          <w:rFonts w:ascii="Arial" w:cs="Arial" w:eastAsia="Arial" w:hAnsi="Arial"/>
          <w:sz w:val="20"/>
          <w:szCs w:val="20"/>
          <w:color w:val="000000"/>
        </w:rPr>
        <w:t>. Notwithstanding Section 10.2.1, in the event either Party (the “</w:t>
      </w:r>
      <w:r>
        <w:rPr>
          <w:rFonts w:ascii="Arial" w:cs="Arial" w:eastAsia="Arial" w:hAnsi="Arial"/>
          <w:sz w:val="20"/>
          <w:szCs w:val="20"/>
          <w:b w:val="1"/>
          <w:bCs w:val="1"/>
          <w:color w:val="000000"/>
        </w:rPr>
        <w:t>Issuing Party</w:t>
      </w:r>
      <w:r>
        <w:rPr>
          <w:rFonts w:ascii="Arial" w:cs="Arial" w:eastAsia="Arial" w:hAnsi="Arial"/>
          <w:sz w:val="20"/>
          <w:szCs w:val="20"/>
          <w:color w:val="000000"/>
        </w:rPr>
        <w:t>”) desires to issue a</w:t>
      </w:r>
      <w:r>
        <w:rPr>
          <w:rFonts w:ascii="Arial" w:cs="Arial" w:eastAsia="Arial" w:hAnsi="Arial"/>
          <w:sz w:val="20"/>
          <w:szCs w:val="20"/>
          <w:color w:val="010000"/>
        </w:rPr>
        <w:t xml:space="preserve"> </w:t>
      </w:r>
      <w:r>
        <w:rPr>
          <w:rFonts w:ascii="Arial" w:cs="Arial" w:eastAsia="Arial" w:hAnsi="Arial"/>
          <w:sz w:val="20"/>
          <w:szCs w:val="20"/>
          <w:color w:val="000000"/>
        </w:rPr>
        <w:t>press release or other public statement disclosing information relating to this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18" w:lineRule="exact"/>
        <w:rPr>
          <w:sz w:val="20"/>
          <w:szCs w:val="20"/>
          <w:color w:val="auto"/>
        </w:rPr>
      </w:pPr>
    </w:p>
    <w:p>
      <w:pPr>
        <w:ind w:right="20" w:firstLine="8"/>
        <w:spacing w:after="0" w:line="258" w:lineRule="auto"/>
        <w:tabs>
          <w:tab w:leader="none" w:pos="2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6" w:name="page117"/>
    <w:bookmarkEnd w:id="116"/>
    <w:p>
      <w:pPr>
        <w:jc w:val="both"/>
        <w:spacing w:after="0" w:line="273" w:lineRule="auto"/>
        <w:rPr>
          <w:sz w:val="20"/>
          <w:szCs w:val="20"/>
          <w:color w:val="auto"/>
        </w:rPr>
      </w:pPr>
      <w:r>
        <w:rPr>
          <w:rFonts w:ascii="Arial" w:cs="Arial" w:eastAsia="Arial" w:hAnsi="Arial"/>
          <w:sz w:val="18"/>
          <w:szCs w:val="18"/>
          <w:color w:val="auto"/>
        </w:rPr>
        <w:t>Agreement or the transactions contemplated hereby or the terms hereof other than the Joint Press Release, the Issuing Party shall provide the other Party (the “</w:t>
      </w:r>
      <w:r>
        <w:rPr>
          <w:rFonts w:ascii="Arial" w:cs="Arial" w:eastAsia="Arial" w:hAnsi="Arial"/>
          <w:sz w:val="18"/>
          <w:szCs w:val="18"/>
          <w:b w:val="1"/>
          <w:bCs w:val="1"/>
          <w:color w:val="auto"/>
        </w:rPr>
        <w:t>Reviewing Party</w:t>
      </w:r>
      <w:r>
        <w:rPr>
          <w:rFonts w:ascii="Arial" w:cs="Arial" w:eastAsia="Arial" w:hAnsi="Arial"/>
          <w:sz w:val="18"/>
          <w:szCs w:val="18"/>
          <w:color w:val="auto"/>
        </w:rPr>
        <w:t>”) with a copy of the proposed press release or public statement (the “</w:t>
      </w:r>
      <w:r>
        <w:rPr>
          <w:rFonts w:ascii="Arial" w:cs="Arial" w:eastAsia="Arial" w:hAnsi="Arial"/>
          <w:sz w:val="18"/>
          <w:szCs w:val="18"/>
          <w:b w:val="1"/>
          <w:bCs w:val="1"/>
          <w:color w:val="auto"/>
        </w:rPr>
        <w:t>Release</w:t>
      </w:r>
      <w:r>
        <w:rPr>
          <w:rFonts w:ascii="Arial" w:cs="Arial" w:eastAsia="Arial" w:hAnsi="Arial"/>
          <w:sz w:val="18"/>
          <w:szCs w:val="18"/>
          <w:color w:val="auto"/>
        </w:rPr>
        <w:t>”). The Issuing Party shall specify with each such Release, taking into account the urgency of the matter being disclosed, a reasonable period of time within which the Reviewing Party may provide any comments on such Release ([*]). If the Reviewing Party provides any comments, the Parties shall consult on such Release and work in good faith to prepare a mutually acceptable Release. For the avoidance of doubt (and notwithstanding anything contained in this Agreement to the contrary), ELUMINEX, in its sole discretion, may make disclosures relating to the development or commercialization of the Product(s) conducted by or on behalf of ELUMINEX, including the results of research and any Clinical Trial conducted by or on behalf of ELUMINEX or any health or safety matter related to the Product(s).</w:t>
      </w:r>
    </w:p>
    <w:p>
      <w:pPr>
        <w:spacing w:after="0" w:line="144"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1640" w:type="dxa"/>
            <w:vAlign w:val="bottom"/>
          </w:tcPr>
          <w:p>
            <w:pPr>
              <w:jc w:val="right"/>
              <w:ind w:right="541"/>
              <w:spacing w:after="0"/>
              <w:rPr>
                <w:sz w:val="20"/>
                <w:szCs w:val="20"/>
                <w:color w:val="auto"/>
              </w:rPr>
            </w:pPr>
            <w:r>
              <w:rPr>
                <w:rFonts w:ascii="Arial" w:cs="Arial" w:eastAsia="Arial" w:hAnsi="Arial"/>
                <w:sz w:val="20"/>
                <w:szCs w:val="20"/>
                <w:color w:val="auto"/>
                <w:w w:val="88"/>
              </w:rPr>
              <w:t>Section 10.3</w:t>
            </w:r>
          </w:p>
        </w:tc>
        <w:tc>
          <w:tcPr>
            <w:tcW w:w="8520" w:type="dxa"/>
            <w:vAlign w:val="bottom"/>
            <w:gridSpan w:val="4"/>
          </w:tcPr>
          <w:p>
            <w:pPr>
              <w:spacing w:after="0"/>
              <w:rPr>
                <w:sz w:val="20"/>
                <w:szCs w:val="20"/>
                <w:color w:val="auto"/>
              </w:rPr>
            </w:pPr>
            <w:r>
              <w:rPr>
                <w:rFonts w:ascii="Arial" w:cs="Arial" w:eastAsia="Arial" w:hAnsi="Arial"/>
                <w:sz w:val="20"/>
                <w:szCs w:val="20"/>
                <w:color w:val="auto"/>
              </w:rPr>
              <w:t>Publications.</w:t>
            </w:r>
          </w:p>
        </w:tc>
      </w:tr>
      <w:tr>
        <w:trPr>
          <w:trHeight w:val="20"/>
        </w:trPr>
        <w:tc>
          <w:tcPr>
            <w:tcW w:w="1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425"/>
        </w:trPr>
        <w:tc>
          <w:tcPr>
            <w:tcW w:w="1640" w:type="dxa"/>
            <w:vAlign w:val="bottom"/>
          </w:tcPr>
          <w:p>
            <w:pPr>
              <w:jc w:val="right"/>
              <w:ind w:right="381"/>
              <w:spacing w:after="0"/>
              <w:rPr>
                <w:sz w:val="20"/>
                <w:szCs w:val="20"/>
                <w:color w:val="auto"/>
              </w:rPr>
            </w:pPr>
            <w:r>
              <w:rPr>
                <w:rFonts w:ascii="Arial" w:cs="Arial" w:eastAsia="Arial" w:hAnsi="Arial"/>
                <w:sz w:val="20"/>
                <w:szCs w:val="20"/>
                <w:color w:val="010000"/>
              </w:rPr>
              <w:t>10.3.1</w:t>
            </w:r>
          </w:p>
        </w:tc>
        <w:tc>
          <w:tcPr>
            <w:tcW w:w="160" w:type="dxa"/>
            <w:vAlign w:val="bottom"/>
          </w:tcPr>
          <w:p>
            <w:pPr>
              <w:spacing w:after="0"/>
              <w:rPr>
                <w:sz w:val="24"/>
                <w:szCs w:val="24"/>
                <w:color w:val="auto"/>
              </w:rPr>
            </w:pPr>
          </w:p>
        </w:tc>
        <w:tc>
          <w:tcPr>
            <w:tcW w:w="8360" w:type="dxa"/>
            <w:vAlign w:val="bottom"/>
            <w:gridSpan w:val="3"/>
          </w:tcPr>
          <w:p>
            <w:pPr>
              <w:spacing w:after="0"/>
              <w:rPr>
                <w:sz w:val="20"/>
                <w:szCs w:val="20"/>
                <w:color w:val="auto"/>
              </w:rPr>
            </w:pPr>
            <w:r>
              <w:rPr>
                <w:rFonts w:ascii="Arial" w:cs="Arial" w:eastAsia="Arial" w:hAnsi="Arial"/>
                <w:sz w:val="20"/>
                <w:szCs w:val="20"/>
                <w:color w:val="auto"/>
                <w:w w:val="91"/>
              </w:rPr>
              <w:t>Right to Publish. Subject to the provisions of Sections 10.1, 10.2 and 10.3.2, ELUMINEX shall have the</w:t>
            </w:r>
          </w:p>
        </w:tc>
      </w:tr>
      <w:tr>
        <w:trPr>
          <w:trHeight w:val="20"/>
        </w:trPr>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1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right to publish with respect to Products research results achieved by or on behalf of ELUMINEX in scientific publications, and to make scientific presentations for such research results on Products.</w:t>
      </w:r>
    </w:p>
    <w:p>
      <w:pPr>
        <w:spacing w:after="0" w:line="177"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0"/>
          <w:szCs w:val="20"/>
          <w:color w:val="010000"/>
        </w:rPr>
        <w:t xml:space="preserve">10.3.2 </w:t>
      </w:r>
      <w:r>
        <w:rPr>
          <w:rFonts w:ascii="Arial" w:cs="Arial" w:eastAsia="Arial" w:hAnsi="Arial"/>
          <w:sz w:val="20"/>
          <w:szCs w:val="20"/>
          <w:u w:val="single" w:color="auto"/>
          <w:color w:val="000000"/>
        </w:rPr>
        <w:t>Review</w:t>
      </w:r>
      <w:r>
        <w:rPr>
          <w:rFonts w:ascii="Arial" w:cs="Arial" w:eastAsia="Arial" w:hAnsi="Arial"/>
          <w:sz w:val="20"/>
          <w:szCs w:val="20"/>
          <w:color w:val="000000"/>
        </w:rPr>
        <w:t>. Except as required by Law or court order, for any proposed publication or presentation</w:t>
      </w:r>
      <w:r>
        <w:rPr>
          <w:rFonts w:ascii="Arial" w:cs="Arial" w:eastAsia="Arial" w:hAnsi="Arial"/>
          <w:sz w:val="20"/>
          <w:szCs w:val="20"/>
          <w:color w:val="010000"/>
        </w:rPr>
        <w:t xml:space="preserve"> </w:t>
      </w:r>
      <w:r>
        <w:rPr>
          <w:rFonts w:ascii="Arial" w:cs="Arial" w:eastAsia="Arial" w:hAnsi="Arial"/>
          <w:sz w:val="20"/>
          <w:szCs w:val="20"/>
          <w:color w:val="000000"/>
        </w:rPr>
        <w:t>regarding a Product, ELUMINEX: (a) shall transmit a copy of the proposed publication for review and comment to FIBROGEN at least [*] prior to the submission of such publication to a Third Party if such publication includes, incorporates or is related to any Licensed Technology or Know-How Product IP; and (b) upon request of FIBROGEN, shall [*].</w:t>
      </w:r>
    </w:p>
    <w:p>
      <w:pPr>
        <w:spacing w:after="0" w:line="19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Attorney-Client Privilege</w:t>
      </w:r>
      <w:r>
        <w:rPr>
          <w:rFonts w:ascii="Arial" w:cs="Arial" w:eastAsia="Arial" w:hAnsi="Arial"/>
          <w:sz w:val="19"/>
          <w:szCs w:val="19"/>
          <w:color w:val="auto"/>
        </w:rPr>
        <w:t>. Neither Party is waiving, nor will be deemed to have waived or diminished, any of its attorney work product protections, attorney-client privileges or similar protections and privileges recognized under the applicable Laws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TERM AND TERMINATION</w:t>
      </w:r>
    </w:p>
    <w:p>
      <w:pPr>
        <w:spacing w:after="0" w:line="200"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become effective on the Effective Date and, unless earlier terminated pursuant to</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Article 11, shall continue until it expires as follows (the “</w:t>
      </w:r>
      <w:r>
        <w:rPr>
          <w:rFonts w:ascii="Arial" w:cs="Arial" w:eastAsia="Arial" w:hAnsi="Arial"/>
          <w:sz w:val="20"/>
          <w:szCs w:val="20"/>
          <w:b w:val="1"/>
          <w:bCs w:val="1"/>
          <w:color w:val="auto"/>
        </w:rPr>
        <w:t>Term</w:t>
      </w:r>
      <w:r>
        <w:rPr>
          <w:rFonts w:ascii="Arial" w:cs="Arial" w:eastAsia="Arial" w:hAnsi="Arial"/>
          <w:sz w:val="20"/>
          <w:szCs w:val="20"/>
          <w:color w:val="auto"/>
        </w:rPr>
        <w:t>”): (a) on a Product-by-Product and country-by-country (or region-by-region) basis on the date of the expiration of the Royalty Term for such Product in such country or region, and (b) [*]. On a Product-by-Product and country-by-country (or region-by-region) basis, upon the expiration (but not earlier termination) of this Agreement, the License shall become exclusive, transferable, sublicensable (through multiple tiers of Sublicensees), fully paid-up, royalty-free, irrevocable and perpetual.</w:t>
      </w:r>
    </w:p>
    <w:p>
      <w:pPr>
        <w:spacing w:after="0" w:line="19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16" w:lineRule="exact"/>
        <w:rPr>
          <w:sz w:val="20"/>
          <w:szCs w:val="20"/>
          <w:color w:val="auto"/>
        </w:rPr>
      </w:pPr>
    </w:p>
    <w:p>
      <w:pPr>
        <w:ind w:left="1740"/>
        <w:spacing w:after="0"/>
        <w:tabs>
          <w:tab w:leader="none" w:pos="2860" w:val="left"/>
        </w:tabs>
        <w:rPr>
          <w:sz w:val="20"/>
          <w:szCs w:val="20"/>
          <w:color w:val="auto"/>
        </w:rPr>
      </w:pPr>
      <w:r>
        <w:rPr>
          <w:rFonts w:ascii="Arial" w:cs="Arial" w:eastAsia="Arial" w:hAnsi="Arial"/>
          <w:sz w:val="20"/>
          <w:szCs w:val="20"/>
          <w:color w:val="010000"/>
        </w:rPr>
        <w:t>11.2.1</w:t>
      </w:r>
      <w:r>
        <w:rPr>
          <w:sz w:val="20"/>
          <w:szCs w:val="20"/>
          <w:color w:val="auto"/>
        </w:rPr>
        <w:tab/>
      </w:r>
      <w:r>
        <w:rPr>
          <w:rFonts w:ascii="Arial" w:cs="Arial" w:eastAsia="Arial" w:hAnsi="Arial"/>
          <w:sz w:val="16"/>
          <w:szCs w:val="16"/>
          <w:color w:val="auto"/>
        </w:rPr>
        <w:t>Breach.</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18" w:lineRule="exact"/>
        <w:rPr>
          <w:sz w:val="20"/>
          <w:szCs w:val="20"/>
          <w:color w:val="auto"/>
        </w:rPr>
      </w:pPr>
    </w:p>
    <w:p>
      <w:pPr>
        <w:ind w:right="20" w:firstLine="8"/>
        <w:spacing w:after="0" w:line="258" w:lineRule="auto"/>
        <w:tabs>
          <w:tab w:leader="none" w:pos="2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17" w:name="page118"/>
    <w:bookmarkEnd w:id="117"/>
    <w:p>
      <w:pPr>
        <w:jc w:val="both"/>
        <w:ind w:firstLine="1735"/>
        <w:spacing w:after="0" w:line="269" w:lineRule="auto"/>
        <w:tabs>
          <w:tab w:leader="none" w:pos="259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Each Party shall have the right to terminate this Agreement in full in the event that the other Party materially breaches a material term of this Agreement, and such breach is not cured by the date that is [*] after written notice thereof is provided to the breaching Party by the non-breaching Party, such notice describing the alleged material breach in sufficient detail to put the breaching Party on notice. The foregoing [*] cure period shall be shortened to [*] for breaches that consist of a failure to pay undisputed amounts as and when due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applicable breach is not reasonably capable of cure within such [*] period, but is capable of cure within</w:t>
      </w:r>
    </w:p>
    <w:p>
      <w:pPr>
        <w:spacing w:after="0" w:line="3" w:lineRule="exact"/>
        <w:rPr>
          <w:rFonts w:ascii="Arial" w:cs="Arial" w:eastAsia="Arial" w:hAnsi="Arial"/>
          <w:sz w:val="18"/>
          <w:szCs w:val="18"/>
          <w:color w:val="auto"/>
        </w:rPr>
      </w:pPr>
    </w:p>
    <w:p>
      <w:pPr>
        <w:jc w:val="both"/>
        <w:ind w:firstLine="8"/>
        <w:spacing w:after="0" w:line="256" w:lineRule="auto"/>
        <w:tabs>
          <w:tab w:leader="none" w:pos="297" w:val="left"/>
        </w:tabs>
        <w:numPr>
          <w:ilvl w:val="0"/>
          <w:numId w:val="116"/>
        </w:numPr>
        <w:rPr>
          <w:rFonts w:ascii="Arial" w:cs="Arial" w:eastAsia="Arial" w:hAnsi="Arial"/>
          <w:sz w:val="19"/>
          <w:szCs w:val="19"/>
          <w:color w:val="auto"/>
        </w:rPr>
      </w:pPr>
      <w:r>
        <w:rPr>
          <w:rFonts w:ascii="Arial" w:cs="Arial" w:eastAsia="Arial" w:hAnsi="Arial"/>
          <w:sz w:val="19"/>
          <w:szCs w:val="19"/>
          <w:color w:val="auto"/>
        </w:rPr>
        <w:t>from such notice, the breaching Party may submit, within [*] of such notice, a reasonable cure plan to remedy such breach as soon as possible and in any event prior to the end of such [*] period, and, upon such submission, the [*] cure period shall be automatically extended for so long as the breaching Party continues to use diligent efforts to cure such breach in accordance with the cure plan (but in no event, for longer than [*]. Any termination of this Agreement under this Section 11.2.1 shall become effective at the end of the applicable cure period, unless the breaching Party has cured such breach prior to the expiration of such cure period.</w:t>
      </w:r>
    </w:p>
    <w:p>
      <w:pPr>
        <w:spacing w:after="0" w:line="182" w:lineRule="exact"/>
        <w:rPr>
          <w:rFonts w:ascii="Arial" w:cs="Arial" w:eastAsia="Arial" w:hAnsi="Arial"/>
          <w:sz w:val="19"/>
          <w:szCs w:val="19"/>
          <w:color w:val="auto"/>
        </w:rPr>
      </w:pPr>
    </w:p>
    <w:p>
      <w:pPr>
        <w:jc w:val="both"/>
        <w:ind w:firstLine="1735"/>
        <w:spacing w:after="0" w:line="274" w:lineRule="auto"/>
        <w:tabs>
          <w:tab w:leader="none" w:pos="265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a Party disputes in good faith the existence or materiality of a breach specified in a notice provided by the other Party pursuant to Section 11.2.1(a), and the breaching Party provides notice to the other Party of such dispute within the applicable cure period, the breaching Party may require the CEO Delegates to meet and confer in good faith to resolve such breach condition. The CEO Delegates of the Parties shall, as soon as reasonably practicable, after a notice of such dispute, meet and confer in good faith regarding such dispute at such time and place as mutually agreed upon by the Parties. If the CEO Delegates are unable to resolve such dispute within [*] from the date on which such delegates initially considered such issue, then either Party may elect to initiate formal dispute resolution proceedings in accordance with Section 12.5. It is understood and acknowledged that during the pendency of such a dispute, [*].</w:t>
      </w:r>
    </w:p>
    <w:p>
      <w:pPr>
        <w:spacing w:after="0" w:line="168"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19"/>
          <w:szCs w:val="19"/>
          <w:color w:val="010000"/>
        </w:rPr>
        <w:t xml:space="preserve">11.2.2 </w:t>
      </w:r>
      <w:r>
        <w:rPr>
          <w:rFonts w:ascii="Arial" w:cs="Arial" w:eastAsia="Arial" w:hAnsi="Arial"/>
          <w:sz w:val="19"/>
          <w:szCs w:val="19"/>
          <w:u w:val="single" w:color="auto"/>
          <w:color w:val="000000"/>
        </w:rPr>
        <w:t>Termination Upon Bankruptcy</w:t>
      </w:r>
      <w:r>
        <w:rPr>
          <w:rFonts w:ascii="Arial" w:cs="Arial" w:eastAsia="Arial" w:hAnsi="Arial"/>
          <w:sz w:val="19"/>
          <w:szCs w:val="19"/>
          <w:color w:val="000000"/>
        </w:rPr>
        <w:t>. Subject to applicable Law and Section 12.2, either Party may terminate</w:t>
      </w:r>
      <w:r>
        <w:rPr>
          <w:rFonts w:ascii="Arial" w:cs="Arial" w:eastAsia="Arial" w:hAnsi="Arial"/>
          <w:sz w:val="19"/>
          <w:szCs w:val="19"/>
          <w:color w:val="010000"/>
        </w:rPr>
        <w:t xml:space="preserve"> </w:t>
      </w:r>
      <w:r>
        <w:rPr>
          <w:rFonts w:ascii="Arial" w:cs="Arial" w:eastAsia="Arial" w:hAnsi="Arial"/>
          <w:sz w:val="19"/>
          <w:szCs w:val="19"/>
          <w:color w:val="000000"/>
        </w:rPr>
        <w:t>this Agreement if, at any time, the other Party shall (a) file in any court or agency pursuant to any statute or regulation of any state, country or jurisdiction, a petition in bankruptcy or insolvency or for reorganization or for an arrangement or for the appointment of a receiver or trustee of that Party or of its assets, (b) propose a written agreement of composition or extension of its debts, (c) be served with an involuntary petition against it, filed in any insolvency proceeding, and such petition has not been dismissed within [*] after the filing thereof, (d) propose or be a party to any dissolution or liquidation, (e) make an assignment for the benefit of its creditors or (f) admit in writing its inability generally to meet its obligations as they fall due in the general course.</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Section 11.3 </w:t>
      </w:r>
      <w:r>
        <w:rPr>
          <w:rFonts w:ascii="Arial" w:cs="Arial" w:eastAsia="Arial" w:hAnsi="Arial"/>
          <w:sz w:val="20"/>
          <w:szCs w:val="20"/>
          <w:u w:val="single" w:color="auto"/>
          <w:color w:val="auto"/>
        </w:rPr>
        <w:t>Effects of Termination</w:t>
      </w:r>
      <w:r>
        <w:rPr>
          <w:rFonts w:ascii="Arial" w:cs="Arial" w:eastAsia="Arial" w:hAnsi="Arial"/>
          <w:sz w:val="20"/>
          <w:szCs w:val="20"/>
          <w:color w:val="auto"/>
        </w:rPr>
        <w:t>. Upon termination of this Agreement by either Party under Section 11.2, the following effects of termination shall occur with respect to the entire Agreement, the costs and expenses in relation to the effects listed in Section 11.3(c) and Section 11.3(e) shall be borne [*]:</w:t>
      </w:r>
    </w:p>
    <w:p>
      <w:pPr>
        <w:spacing w:after="0" w:line="186" w:lineRule="exact"/>
        <w:rPr>
          <w:sz w:val="20"/>
          <w:szCs w:val="20"/>
          <w:color w:val="auto"/>
        </w:rPr>
      </w:pPr>
    </w:p>
    <w:p>
      <w:pPr>
        <w:ind w:left="2600" w:hanging="865"/>
        <w:spacing w:after="0"/>
        <w:tabs>
          <w:tab w:leader="none" w:pos="260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all rights and licenses granted by the Parties in Article 2 shall terminate, and [*];</w:t>
      </w:r>
    </w:p>
    <w:p>
      <w:pPr>
        <w:spacing w:after="0" w:line="215" w:lineRule="exact"/>
        <w:rPr>
          <w:rFonts w:ascii="Arial" w:cs="Arial" w:eastAsia="Arial" w:hAnsi="Arial"/>
          <w:sz w:val="20"/>
          <w:szCs w:val="20"/>
          <w:color w:val="auto"/>
        </w:rPr>
      </w:pPr>
    </w:p>
    <w:p>
      <w:pPr>
        <w:ind w:left="2620" w:hanging="885"/>
        <w:spacing w:after="0"/>
        <w:tabs>
          <w:tab w:leader="none" w:pos="262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at FIBROGEN’s election, ELUMINEX shall [*] in accordance with the [*] Agreement;</w:t>
      </w:r>
    </w:p>
    <w:p>
      <w:pPr>
        <w:spacing w:after="0" w:line="215" w:lineRule="exact"/>
        <w:rPr>
          <w:rFonts w:ascii="Arial" w:cs="Arial" w:eastAsia="Arial" w:hAnsi="Arial"/>
          <w:sz w:val="20"/>
          <w:szCs w:val="20"/>
          <w:color w:val="auto"/>
        </w:rPr>
      </w:pPr>
    </w:p>
    <w:p>
      <w:pPr>
        <w:ind w:left="2600" w:hanging="865"/>
        <w:spacing w:after="0"/>
        <w:tabs>
          <w:tab w:leader="none" w:pos="260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ELUMINEX shall, to the extent permitted by applicable Law, [*];</w:t>
      </w:r>
    </w:p>
    <w:p>
      <w:pPr>
        <w:spacing w:after="0" w:line="215" w:lineRule="exact"/>
        <w:rPr>
          <w:rFonts w:ascii="Arial" w:cs="Arial" w:eastAsia="Arial" w:hAnsi="Arial"/>
          <w:sz w:val="20"/>
          <w:szCs w:val="20"/>
          <w:color w:val="auto"/>
        </w:rPr>
      </w:pPr>
    </w:p>
    <w:p>
      <w:pPr>
        <w:ind w:firstLine="1735"/>
        <w:spacing w:after="0" w:line="316" w:lineRule="auto"/>
        <w:tabs>
          <w:tab w:leader="none" w:pos="260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upon the reasonable request by any Sublicensee of ELUMINEX under Section 2.2, FIBROGEN shall enter into a new license agreement pursuant to which FIBROGEN would grant a license directly to such Sublicensee,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18" w:lineRule="exact"/>
        <w:rPr>
          <w:sz w:val="20"/>
          <w:szCs w:val="20"/>
          <w:color w:val="auto"/>
        </w:rPr>
      </w:pPr>
    </w:p>
    <w:p>
      <w:pPr>
        <w:ind w:right="20" w:firstLine="8"/>
        <w:spacing w:after="0" w:line="258" w:lineRule="auto"/>
        <w:tabs>
          <w:tab w:leader="none" w:pos="26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8" w:name="page119"/>
    <w:bookmarkEnd w:id="118"/>
    <w:p>
      <w:pPr>
        <w:jc w:val="both"/>
        <w:ind w:firstLine="1735"/>
        <w:spacing w:after="0" w:line="250" w:lineRule="auto"/>
        <w:tabs>
          <w:tab w:leader="none" w:pos="2595" w:val="left"/>
        </w:tabs>
        <w:numPr>
          <w:ilvl w:val="0"/>
          <w:numId w:val="120"/>
        </w:numPr>
        <w:rPr>
          <w:rFonts w:ascii="Arial" w:cs="Arial" w:eastAsia="Arial" w:hAnsi="Arial"/>
          <w:sz w:val="20"/>
          <w:szCs w:val="20"/>
          <w:color w:val="auto"/>
        </w:rPr>
      </w:pPr>
      <w:r>
        <w:rPr>
          <w:rFonts w:ascii="Arial" w:cs="Arial" w:eastAsia="Arial" w:hAnsi="Arial"/>
          <w:sz w:val="20"/>
          <w:szCs w:val="20"/>
          <w:color w:val="auto"/>
        </w:rPr>
        <w:t>Notwithstanding the foregoing, if a Clinical Trial of a Product has been Initiated by ELUMINEX, its Affiliates, or its or their Sublicensees at the time of termination, the terms of this Agreement shall continue to apply as necessary to accomplish a safe and orderly wind-down of the Clinical Trial.</w:t>
      </w:r>
    </w:p>
    <w:p>
      <w:pPr>
        <w:spacing w:after="0" w:line="18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Material Breach by FIBROGEN</w:t>
      </w:r>
      <w:r>
        <w:rPr>
          <w:rFonts w:ascii="Arial" w:cs="Arial" w:eastAsia="Arial" w:hAnsi="Arial"/>
          <w:sz w:val="18"/>
          <w:szCs w:val="18"/>
          <w:color w:val="auto"/>
        </w:rPr>
        <w:t>. In the event ELUMINEX provides a written notice of FIBROGEN’s alleged material breach of this Agreement pursuant to Section 11.2.1(a), FIBROGEN disputes in good faith the existence or materiality of the breach specified in such notice, and either Party elects to initiate formal dispute resolution proceedings in accordance with Section 12.5 with respect to such Dispute pursuant to Section 11.2.1(b), ELUMINEX may, notwithstanding the last sentence of Section 11.2.1(b), from and after the date on which the formal dispute resolution proceedings are initiated (the “</w:t>
      </w:r>
      <w:r>
        <w:rPr>
          <w:rFonts w:ascii="Arial" w:cs="Arial" w:eastAsia="Arial" w:hAnsi="Arial"/>
          <w:sz w:val="18"/>
          <w:szCs w:val="18"/>
          <w:b w:val="1"/>
          <w:bCs w:val="1"/>
          <w:color w:val="auto"/>
        </w:rPr>
        <w:t>Arbitration Date</w:t>
      </w:r>
      <w:r>
        <w:rPr>
          <w:rFonts w:ascii="Arial" w:cs="Arial" w:eastAsia="Arial" w:hAnsi="Arial"/>
          <w:sz w:val="18"/>
          <w:szCs w:val="18"/>
          <w:color w:val="auto"/>
        </w:rPr>
        <w:t>”), [*] until resolution of such Dispute through arbitration pursuant to Section 12.5. [*] shall each be decided by the arbitral tribunal in accordance with Section 12.5.</w:t>
      </w:r>
    </w:p>
    <w:p>
      <w:pPr>
        <w:spacing w:after="0" w:line="165" w:lineRule="exact"/>
        <w:rPr>
          <w:sz w:val="20"/>
          <w:szCs w:val="20"/>
          <w:color w:val="auto"/>
        </w:rPr>
      </w:pPr>
    </w:p>
    <w:p>
      <w:pPr>
        <w:ind w:left="1080"/>
        <w:spacing w:after="0"/>
        <w:tabs>
          <w:tab w:leader="none" w:pos="2700" w:val="left"/>
        </w:tabs>
        <w:rPr>
          <w:sz w:val="20"/>
          <w:szCs w:val="20"/>
          <w:color w:val="auto"/>
        </w:rPr>
      </w:pPr>
      <w:r>
        <w:rPr>
          <w:rFonts w:ascii="Arial" w:cs="Arial" w:eastAsia="Arial" w:hAnsi="Arial"/>
          <w:sz w:val="20"/>
          <w:szCs w:val="20"/>
          <w:color w:val="auto"/>
        </w:rPr>
        <w:t>Section 11.5</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1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In addition to the termination consequences set forth in Section 11.3, the following provisions shall survive termination or expiration of this Agreement: [*]. Termination or expiration of this Agreement are neither Party’s exclusive remedy and shall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nor prejudice either Party’s right to obtain performance of any obligation. All other rights and obligations shall terminate upon expiration of this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MISCELLANEOUS</w:t>
      </w:r>
    </w:p>
    <w:p>
      <w:pPr>
        <w:spacing w:after="0" w:line="200"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 xml:space="preserve">Section 12.1 </w:t>
      </w:r>
      <w:r>
        <w:rPr>
          <w:rFonts w:ascii="Arial" w:cs="Arial" w:eastAsia="Arial" w:hAnsi="Arial"/>
          <w:sz w:val="19"/>
          <w:szCs w:val="19"/>
          <w:u w:val="single" w:color="auto"/>
          <w:color w:val="auto"/>
        </w:rPr>
        <w:t>Entire Agreement; Amendment</w:t>
      </w:r>
      <w:r>
        <w:rPr>
          <w:rFonts w:ascii="Arial" w:cs="Arial" w:eastAsia="Arial" w:hAnsi="Arial"/>
          <w:sz w:val="19"/>
          <w:szCs w:val="19"/>
          <w:color w:val="auto"/>
        </w:rPr>
        <w:t>. This Agreement and all Exhibits attached to this Agreement constitute the entire agreement between the Parties as to the subject matter hereof. All prior and contemporaneous negotiations, representations, warranties, agreements, statements, promises and understandings with respect to the subject matter of this Agreement are hereby superseded and merged into, extinguished by and completely expressed by this Agreement. Neither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both Parties specifically referencing this Agreement.</w:t>
      </w:r>
    </w:p>
    <w:p>
      <w:pPr>
        <w:spacing w:after="0" w:line="18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 xml:space="preserve">Section 12.2 </w:t>
      </w:r>
      <w:r>
        <w:rPr>
          <w:rFonts w:ascii="Arial" w:cs="Arial" w:eastAsia="Arial" w:hAnsi="Arial"/>
          <w:sz w:val="19"/>
          <w:szCs w:val="19"/>
          <w:u w:val="single" w:color="auto"/>
          <w:color w:val="auto"/>
        </w:rPr>
        <w:t>Section 365(n) of the Bankruptcy Code</w:t>
      </w:r>
      <w:r>
        <w:rPr>
          <w:rFonts w:ascii="Arial" w:cs="Arial" w:eastAsia="Arial" w:hAnsi="Arial"/>
          <w:sz w:val="19"/>
          <w:szCs w:val="19"/>
          <w:color w:val="auto"/>
        </w:rPr>
        <w:t>. All rights and licenses granted under or pursuant to any section of this Agreement are, and shall otherwise be deemed to be, for purposes of Section 365(n) of the U.S. Bankruptcy Code, licenses of rights to “intellectual property” as defined under Section 101(35A) of the U.S. Bankruptcy Code to the extent permitted thereunder. The Parties shall retain and may fully exercise all of their respective rights and elections under the U.S. Bankruptcy Code. Upon the bankruptcy of any Party, the non-bankrupt Party shall further be entitled to a complete duplicate of (or complete access to, as appropriate) any such intellectual property, and such, if not already in its possession, shall be promptly delivered to the non-bankrupt Party, unless the bankrupt Party elects to continue, and continues, to perform all of its obligations under this Agreement.</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Section 12.3 </w:t>
      </w:r>
      <w:r>
        <w:rPr>
          <w:rFonts w:ascii="Arial" w:cs="Arial" w:eastAsia="Arial" w:hAnsi="Arial"/>
          <w:sz w:val="20"/>
          <w:szCs w:val="20"/>
          <w:u w:val="single" w:color="auto"/>
          <w:color w:val="auto"/>
        </w:rPr>
        <w:t>Independent Contractors</w:t>
      </w:r>
      <w:r>
        <w:rPr>
          <w:rFonts w:ascii="Arial" w:cs="Arial" w:eastAsia="Arial" w:hAnsi="Arial"/>
          <w:sz w:val="20"/>
          <w:szCs w:val="20"/>
          <w:color w:val="auto"/>
        </w:rPr>
        <w:t>. The relationship between ELUMINEX and FIBROGEN created by this Agreement is solely that of independent contractors. This Agreement does not create any agency, distributorship, employee-employer, partnership, joint venture or similar business relationship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18" w:lineRule="exact"/>
        <w:rPr>
          <w:sz w:val="20"/>
          <w:szCs w:val="20"/>
          <w:color w:val="auto"/>
        </w:rPr>
      </w:pPr>
    </w:p>
    <w:p>
      <w:pPr>
        <w:ind w:right="20" w:firstLine="8"/>
        <w:spacing w:after="0" w:line="258" w:lineRule="auto"/>
        <w:tabs>
          <w:tab w:leader="none" w:pos="2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19" w:name="page120"/>
    <w:bookmarkEnd w:id="119"/>
    <w:p>
      <w:pPr>
        <w:jc w:val="both"/>
        <w:spacing w:after="0" w:line="246" w:lineRule="auto"/>
        <w:rPr>
          <w:sz w:val="20"/>
          <w:szCs w:val="20"/>
          <w:color w:val="auto"/>
        </w:rPr>
      </w:pPr>
      <w:r>
        <w:rPr>
          <w:rFonts w:ascii="Arial" w:cs="Arial" w:eastAsia="Arial" w:hAnsi="Arial"/>
          <w:sz w:val="20"/>
          <w:szCs w:val="20"/>
          <w:color w:val="auto"/>
        </w:rPr>
        <w:t>between the Parties, including for tax purposes. Neither Party is a legal representative of the other Party, and neither Party can assume or create any obligation, representation, warranty or guarantee, express or implied, on behalf of the other Party for any purpose whatsoever. Each Party shall use its own discretion and shall have complete and authoritative control over its employees and the details of performing its obligations under this Agreement.</w:t>
      </w:r>
    </w:p>
    <w:p>
      <w:pPr>
        <w:spacing w:after="0" w:line="19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 xml:space="preserve">Section 12.4 </w:t>
      </w: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 This Agreement and its effect are subject to and shall be construed and enforced in accordance with the law of the State of New York, without regard to its conflicts of laws principles, except as to any issue which depends upon the validity, scope or enforceability of any FIBROGEN Patent, which issue shall be determined in accordance with the laws of the country in which such patent was issued or such patent application sought for patent protection.</w:t>
      </w:r>
    </w:p>
    <w:p>
      <w:pPr>
        <w:spacing w:after="0" w:line="170" w:lineRule="exact"/>
        <w:rPr>
          <w:sz w:val="20"/>
          <w:szCs w:val="20"/>
          <w:color w:val="auto"/>
        </w:rPr>
      </w:pPr>
    </w:p>
    <w:p>
      <w:pPr>
        <w:ind w:left="880"/>
        <w:spacing w:after="0"/>
        <w:tabs>
          <w:tab w:leader="none" w:pos="2480" w:val="left"/>
          <w:tab w:leader="none" w:pos="4220" w:val="left"/>
        </w:tabs>
        <w:rPr>
          <w:sz w:val="20"/>
          <w:szCs w:val="20"/>
          <w:color w:val="auto"/>
        </w:rPr>
      </w:pPr>
      <w:r>
        <w:rPr>
          <w:rFonts w:ascii="Arial" w:cs="Arial" w:eastAsia="Arial" w:hAnsi="Arial"/>
          <w:sz w:val="20"/>
          <w:szCs w:val="20"/>
          <w:color w:val="auto"/>
        </w:rPr>
        <w:t>Section 12.5</w:t>
      </w:r>
      <w:r>
        <w:rPr>
          <w:sz w:val="20"/>
          <w:szCs w:val="20"/>
          <w:color w:val="auto"/>
        </w:rPr>
        <w:tab/>
      </w:r>
      <w:r>
        <w:rPr>
          <w:rFonts w:ascii="Arial" w:cs="Arial" w:eastAsia="Arial" w:hAnsi="Arial"/>
          <w:sz w:val="20"/>
          <w:szCs w:val="20"/>
          <w:u w:val="single" w:color="auto"/>
          <w:color w:val="auto"/>
        </w:rPr>
        <w:t>Dispute Resolution.</w:t>
      </w:r>
      <w:r>
        <w:rPr>
          <w:sz w:val="20"/>
          <w:szCs w:val="20"/>
          <w:color w:val="auto"/>
        </w:rPr>
        <w:tab/>
      </w:r>
      <w:r>
        <w:rPr>
          <w:rFonts w:ascii="Arial" w:cs="Arial" w:eastAsia="Arial" w:hAnsi="Arial"/>
          <w:sz w:val="18"/>
          <w:szCs w:val="18"/>
          <w:color w:val="auto"/>
        </w:rPr>
        <w:t>The Parties recognize that a dispute may arise relating to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Any Dispute, including Disputes that may involve the Affiliates of any Party, shall be resolved in accordance with this Section 12.5.</w:t>
      </w:r>
    </w:p>
    <w:p>
      <w:pPr>
        <w:spacing w:after="0" w:line="211"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19"/>
          <w:szCs w:val="19"/>
          <w:color w:val="010000"/>
        </w:rPr>
        <w:t xml:space="preserve">12.5.1 </w:t>
      </w:r>
      <w:r>
        <w:rPr>
          <w:rFonts w:ascii="Arial" w:cs="Arial" w:eastAsia="Arial" w:hAnsi="Arial"/>
          <w:sz w:val="19"/>
          <w:szCs w:val="19"/>
          <w:color w:val="000000"/>
        </w:rPr>
        <w:t>Any claim, Dispute, or controversy as to the breach, enforcement, interpretation or validity of this</w:t>
      </w:r>
      <w:r>
        <w:rPr>
          <w:rFonts w:ascii="Arial" w:cs="Arial" w:eastAsia="Arial" w:hAnsi="Arial"/>
          <w:sz w:val="19"/>
          <w:szCs w:val="19"/>
          <w:color w:val="010000"/>
        </w:rPr>
        <w:t xml:space="preserve"> </w:t>
      </w:r>
      <w:r>
        <w:rPr>
          <w:rFonts w:ascii="Arial" w:cs="Arial" w:eastAsia="Arial" w:hAnsi="Arial"/>
          <w:sz w:val="19"/>
          <w:szCs w:val="19"/>
          <w:color w:val="000000"/>
        </w:rPr>
        <w:t>Agreement shall first be referred to the CEO Delegates for attempted resolution. In the event the CEO Delegates are unable to resolve such Dispute within [*] of such Dispute being referred to them, then, upon the written request of either Party to the other Party, the Dispute shall be submitted by either Party for resolution in arbitration under the Rules of Arbitration of the International Chamber of Commerce. There shall be [*]. The seat of arbitration shall be in [*], and the language of the proceedings shall be [*].</w:t>
      </w:r>
    </w:p>
    <w:p>
      <w:pPr>
        <w:spacing w:after="0" w:line="180"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0"/>
          <w:szCs w:val="20"/>
          <w:color w:val="010000"/>
        </w:rPr>
        <w:t xml:space="preserve">12.5.2 </w:t>
      </w:r>
      <w:r>
        <w:rPr>
          <w:rFonts w:ascii="Arial" w:cs="Arial" w:eastAsia="Arial" w:hAnsi="Arial"/>
          <w:sz w:val="20"/>
          <w:szCs w:val="20"/>
          <w:color w:val="000000"/>
        </w:rPr>
        <w:t>The Parties agree that any award or decision made by the arbitral tribunal shall be final and binding upon</w:t>
      </w:r>
      <w:r>
        <w:rPr>
          <w:rFonts w:ascii="Arial" w:cs="Arial" w:eastAsia="Arial" w:hAnsi="Arial"/>
          <w:sz w:val="20"/>
          <w:szCs w:val="20"/>
          <w:color w:val="010000"/>
        </w:rPr>
        <w:t xml:space="preserve"> </w:t>
      </w:r>
      <w:r>
        <w:rPr>
          <w:rFonts w:ascii="Arial" w:cs="Arial" w:eastAsia="Arial" w:hAnsi="Arial"/>
          <w:sz w:val="20"/>
          <w:szCs w:val="20"/>
          <w:color w:val="000000"/>
        </w:rPr>
        <w:t>them and may be enforced in the same manner as a judgment or order of a court of competent jurisdiction. The arbitral tribunal shall render its final award within [*] from the date on which the request for arbitration by one of the Parties wishing to have recourse to arbitration is received by the ICC Secretariat. The arbitral tribunal shall determine the dispute by applying the provisions of this Agreement and the governing law set forth in Section 12.4.</w:t>
      </w:r>
    </w:p>
    <w:p>
      <w:pPr>
        <w:spacing w:after="0" w:line="194" w:lineRule="exact"/>
        <w:rPr>
          <w:sz w:val="20"/>
          <w:szCs w:val="20"/>
          <w:color w:val="auto"/>
        </w:rPr>
      </w:pPr>
    </w:p>
    <w:p>
      <w:pPr>
        <w:jc w:val="both"/>
        <w:ind w:firstLine="1727"/>
        <w:spacing w:after="0" w:line="259" w:lineRule="auto"/>
        <w:rPr>
          <w:sz w:val="20"/>
          <w:szCs w:val="20"/>
          <w:color w:val="auto"/>
        </w:rPr>
      </w:pPr>
      <w:r>
        <w:rPr>
          <w:rFonts w:ascii="Arial" w:cs="Arial" w:eastAsia="Arial" w:hAnsi="Arial"/>
          <w:sz w:val="19"/>
          <w:szCs w:val="19"/>
          <w:color w:val="010000"/>
        </w:rPr>
        <w:t xml:space="preserve">12.5.3 </w:t>
      </w:r>
      <w:r>
        <w:rPr>
          <w:rFonts w:ascii="Arial" w:cs="Arial" w:eastAsia="Arial" w:hAnsi="Arial"/>
          <w:sz w:val="19"/>
          <w:szCs w:val="19"/>
          <w:color w:val="000000"/>
        </w:rPr>
        <w:t>By agreeing to arbitration, the Parties do not intend to deprive any court located in [*] of its jurisdiction</w:t>
      </w:r>
      <w:r>
        <w:rPr>
          <w:rFonts w:ascii="Arial" w:cs="Arial" w:eastAsia="Arial" w:hAnsi="Arial"/>
          <w:sz w:val="19"/>
          <w:szCs w:val="19"/>
          <w:color w:val="010000"/>
        </w:rPr>
        <w:t xml:space="preserve"> </w:t>
      </w:r>
      <w:r>
        <w:rPr>
          <w:rFonts w:ascii="Arial" w:cs="Arial" w:eastAsia="Arial" w:hAnsi="Arial"/>
          <w:sz w:val="19"/>
          <w:szCs w:val="19"/>
          <w:color w:val="000000"/>
        </w:rPr>
        <w:t>to issue, at the request of a Party, a pre-arbitral injunction, pre-arbitral attachment or other order to avoid irreparable harm, maintain the status quo, preserve the subject matter of the Dispute, or aid the arbitration proceedings and the enforcement of any award. Without prejudice to such provisional or interim remedies in aid of arbitration as may be available under the jurisdiction of a competent court located in [*], the arbitral tribunal shall have full authority to grant provisional or interim remedies and to award damages for the failure of any Party to the Dispute to respect the arbitral tribunal’s order to that effect.</w:t>
      </w:r>
    </w:p>
    <w:p>
      <w:pPr>
        <w:spacing w:after="0" w:line="178" w:lineRule="exact"/>
        <w:rPr>
          <w:sz w:val="20"/>
          <w:szCs w:val="20"/>
          <w:color w:val="auto"/>
        </w:rPr>
      </w:pPr>
    </w:p>
    <w:p>
      <w:pPr>
        <w:ind w:left="1740"/>
        <w:spacing w:after="0"/>
        <w:tabs>
          <w:tab w:leader="none" w:pos="2860" w:val="left"/>
        </w:tabs>
        <w:rPr>
          <w:sz w:val="20"/>
          <w:szCs w:val="20"/>
          <w:color w:val="auto"/>
        </w:rPr>
      </w:pPr>
      <w:r>
        <w:rPr>
          <w:rFonts w:ascii="Arial" w:cs="Arial" w:eastAsia="Arial" w:hAnsi="Arial"/>
          <w:sz w:val="20"/>
          <w:szCs w:val="20"/>
          <w:color w:val="010000"/>
        </w:rPr>
        <w:t>12.5.4</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1740"/>
        <w:spacing w:after="0"/>
        <w:tabs>
          <w:tab w:leader="none" w:pos="2860" w:val="left"/>
        </w:tabs>
        <w:rPr>
          <w:sz w:val="20"/>
          <w:szCs w:val="20"/>
          <w:color w:val="auto"/>
        </w:rPr>
      </w:pPr>
      <w:r>
        <w:rPr>
          <w:rFonts w:ascii="Arial" w:cs="Arial" w:eastAsia="Arial" w:hAnsi="Arial"/>
          <w:sz w:val="20"/>
          <w:szCs w:val="20"/>
          <w:color w:val="010000"/>
        </w:rPr>
        <w:t>12.5.5</w:t>
      </w:r>
      <w:r>
        <w:rPr>
          <w:sz w:val="20"/>
          <w:szCs w:val="20"/>
          <w:color w:val="auto"/>
        </w:rPr>
        <w:tab/>
      </w:r>
      <w:r>
        <w:rPr>
          <w:rFonts w:ascii="Arial" w:cs="Arial" w:eastAsia="Arial" w:hAnsi="Arial"/>
          <w:sz w:val="18"/>
          <w:szCs w:val="18"/>
          <w:color w:val="auto"/>
        </w:rPr>
        <w:t>Each Party shall [*] arising out of the arbitration, and shall pay [*]; provided, however, [*].</w:t>
      </w:r>
    </w:p>
    <w:p>
      <w:pPr>
        <w:spacing w:after="0" w:line="216" w:lineRule="exact"/>
        <w:rPr>
          <w:sz w:val="20"/>
          <w:szCs w:val="20"/>
          <w:color w:val="auto"/>
        </w:rPr>
      </w:pPr>
    </w:p>
    <w:p>
      <w:pPr>
        <w:ind w:left="1740"/>
        <w:spacing w:after="0"/>
        <w:tabs>
          <w:tab w:leader="none" w:pos="2860" w:val="left"/>
        </w:tabs>
        <w:rPr>
          <w:sz w:val="20"/>
          <w:szCs w:val="20"/>
          <w:color w:val="auto"/>
        </w:rPr>
      </w:pPr>
      <w:r>
        <w:rPr>
          <w:rFonts w:ascii="Arial" w:cs="Arial" w:eastAsia="Arial" w:hAnsi="Arial"/>
          <w:sz w:val="20"/>
          <w:szCs w:val="20"/>
          <w:color w:val="010000"/>
        </w:rPr>
        <w:t>12.5.6</w:t>
      </w:r>
      <w:r>
        <w:rPr>
          <w:sz w:val="20"/>
          <w:szCs w:val="20"/>
          <w:color w:val="auto"/>
        </w:rPr>
        <w:tab/>
      </w:r>
      <w:r>
        <w:rPr>
          <w:rFonts w:ascii="Arial" w:cs="Arial" w:eastAsia="Arial" w:hAnsi="Arial"/>
          <w:sz w:val="19"/>
          <w:szCs w:val="19"/>
          <w:color w:val="auto"/>
        </w:rPr>
        <w:t>Nothing in this Section 12.5 shall affect either Party’s ability to pursue equitable relief pursuant to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Section 12.15.</w:t>
      </w:r>
    </w:p>
    <w:p>
      <w:pPr>
        <w:spacing w:after="0" w:line="20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Section 12.6 </w:t>
      </w:r>
      <w:r>
        <w:rPr>
          <w:rFonts w:ascii="Arial" w:cs="Arial" w:eastAsia="Arial" w:hAnsi="Arial"/>
          <w:sz w:val="20"/>
          <w:szCs w:val="20"/>
          <w:u w:val="single" w:color="auto"/>
          <w:color w:val="auto"/>
        </w:rPr>
        <w:t>Notice</w:t>
      </w:r>
      <w:r>
        <w:rPr>
          <w:rFonts w:ascii="Arial" w:cs="Arial" w:eastAsia="Arial" w:hAnsi="Arial"/>
          <w:sz w:val="20"/>
          <w:szCs w:val="20"/>
          <w:color w:val="auto"/>
        </w:rPr>
        <w:t>. All notices or communication required or permitted to be given by either Party hereunder shall be deemed sufficiently given if (i) mailed by registered mail or certified mail, return receipt requested, (ii) sent by overnight courier, such as Federal Express, or (iii) sent by electronic mail,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18" w:lineRule="exact"/>
        <w:rPr>
          <w:sz w:val="20"/>
          <w:szCs w:val="20"/>
          <w:color w:val="auto"/>
        </w:rPr>
      </w:pPr>
    </w:p>
    <w:p>
      <w:pPr>
        <w:ind w:right="20" w:firstLine="8"/>
        <w:spacing w:after="0" w:line="258" w:lineRule="auto"/>
        <w:tabs>
          <w:tab w:leader="none" w:pos="26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0" w:name="page121"/>
    <w:bookmarkEnd w:id="120"/>
    <w:p>
      <w:pPr>
        <w:jc w:val="both"/>
        <w:spacing w:after="0" w:line="291" w:lineRule="auto"/>
        <w:rPr>
          <w:sz w:val="20"/>
          <w:szCs w:val="20"/>
          <w:color w:val="auto"/>
        </w:rPr>
      </w:pPr>
      <w:r>
        <w:rPr>
          <w:rFonts w:ascii="Arial" w:cs="Arial" w:eastAsia="Arial" w:hAnsi="Arial"/>
          <w:sz w:val="18"/>
          <w:szCs w:val="18"/>
          <w:color w:val="auto"/>
        </w:rPr>
        <w:t>each case to the other Party at its address set forth below or to such other address as one Party shall give notice of to the other Party from time to time pursuant to this Section 12.6. Mailed notices shall be deemed to be received on [*] following the date of mailing. Notices sent by overnight courier shall be deemed to be received [*] after sending. Electronic mail notices shall be deemed to be received upon [*].</w:t>
      </w:r>
    </w:p>
    <w:p>
      <w:pPr>
        <w:spacing w:after="0" w:line="368" w:lineRule="exact"/>
        <w:rPr>
          <w:sz w:val="20"/>
          <w:szCs w:val="20"/>
          <w:color w:val="auto"/>
        </w:rPr>
      </w:pPr>
    </w:p>
    <w:p>
      <w:pPr>
        <w:ind w:left="880"/>
        <w:spacing w:after="0"/>
        <w:rPr>
          <w:sz w:val="20"/>
          <w:szCs w:val="20"/>
          <w:color w:val="auto"/>
        </w:rPr>
      </w:pPr>
      <w:r>
        <w:rPr>
          <w:rFonts w:ascii="Arial" w:cs="Arial" w:eastAsia="Arial" w:hAnsi="Arial"/>
          <w:sz w:val="20"/>
          <w:szCs w:val="20"/>
          <w:i w:val="1"/>
          <w:iCs w:val="1"/>
          <w:color w:val="auto"/>
        </w:rPr>
        <w:t>If to ELUMINEX</w:t>
      </w:r>
      <w:r>
        <w:rPr>
          <w:rFonts w:ascii="Arial" w:cs="Arial" w:eastAsia="Arial" w:hAnsi="Arial"/>
          <w:sz w:val="20"/>
          <w:szCs w:val="20"/>
          <w:color w:val="auto"/>
        </w:rPr>
        <w:t>:</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i w:val="1"/>
          <w:iCs w:val="1"/>
          <w:color w:val="auto"/>
        </w:rPr>
        <w:t>With a copy, which shall not constitute notice to:</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i w:val="1"/>
          <w:iCs w:val="1"/>
          <w:color w:val="auto"/>
        </w:rPr>
        <w:t>If to FIBROGEN:</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i w:val="1"/>
          <w:iCs w:val="1"/>
          <w:color w:val="auto"/>
        </w:rPr>
        <w:t>With a copy to</w:t>
      </w:r>
      <w:r>
        <w:rPr>
          <w:rFonts w:ascii="Arial" w:cs="Arial" w:eastAsia="Arial" w:hAnsi="Arial"/>
          <w:sz w:val="20"/>
          <w:szCs w:val="20"/>
          <w:color w:val="auto"/>
        </w:rPr>
        <w:t>:</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i w:val="1"/>
          <w:iCs w:val="1"/>
          <w:color w:val="auto"/>
        </w:rPr>
        <w:t>With a copy, which shall not constitute notice to:</w:t>
      </w:r>
    </w:p>
    <w:p>
      <w:pPr>
        <w:spacing w:after="0" w:line="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 xml:space="preserve">Section 12.7 </w:t>
      </w:r>
      <w:r>
        <w:rPr>
          <w:rFonts w:ascii="Arial" w:cs="Arial" w:eastAsia="Arial" w:hAnsi="Arial"/>
          <w:sz w:val="20"/>
          <w:szCs w:val="20"/>
          <w:u w:val="single" w:color="auto"/>
          <w:color w:val="auto"/>
        </w:rPr>
        <w:t>Compliance with Law; Severability</w:t>
      </w:r>
      <w:r>
        <w:rPr>
          <w:rFonts w:ascii="Arial" w:cs="Arial" w:eastAsia="Arial" w:hAnsi="Arial"/>
          <w:sz w:val="20"/>
          <w:szCs w:val="20"/>
          <w:color w:val="auto"/>
        </w:rPr>
        <w:t>. Nothing in this Agreement shall be construed to require the commission of any act contrary to applicable Law.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194"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 xml:space="preserve">Section 12.8 </w:t>
      </w:r>
      <w:r>
        <w:rPr>
          <w:rFonts w:ascii="Arial" w:cs="Arial" w:eastAsia="Arial" w:hAnsi="Arial"/>
          <w:sz w:val="20"/>
          <w:szCs w:val="20"/>
          <w:u w:val="single" w:color="auto"/>
          <w:color w:val="auto"/>
        </w:rPr>
        <w:t>Non-Use of Names</w:t>
      </w:r>
      <w:r>
        <w:rPr>
          <w:rFonts w:ascii="Arial" w:cs="Arial" w:eastAsia="Arial" w:hAnsi="Arial"/>
          <w:sz w:val="20"/>
          <w:szCs w:val="20"/>
          <w:color w:val="auto"/>
        </w:rPr>
        <w:t>. FIBROGEN shall not use the name, trademark, logo, or physical likeness of ELUMINEX or any of its officers, directors or employees, or any adaptation of any of them, in any advertising, promotional or sales literature, without ELUMINEX’s prior written consent. FIBROGEN shall require its Affiliates to comply with the foregoing. ELUMINEX shall not use the name, trademark, logo, or physical likeness of FIBROGEN or any of its officers, directors or employees, or any adaptation of any of them, in any advertising, promotional or sales literature, without FIBROGEN’s prior written consent. ELUMINEX shall require its Affiliates to comply with the foregoing.</w:t>
      </w:r>
    </w:p>
    <w:p>
      <w:pPr>
        <w:spacing w:after="0" w:line="19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Section 12.9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Neither this Agreement nor any of the rights or obligations created herein may be assigned by either Party, in whole or in part, without the prior written consent of the other Party, [*] except that either Party shall be free to assign this Agreement, in whole or in part, (a) to an Affiliate of such Party (for so long as such Affiliate remains an Affiliate)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 or (b) in connection with any merger, consolidation or sale of such Party or sale of all or substantially all of the assets of the Party that relate to this Agreement, without the prior consent of the non-assigning Party; provided, however, any permitted assignment of its obligations or this Agreement in its entirety by FIBROGEN shall not become effective unless and until the Licensed Technology is also assigned in its entirety to the permitted assignee, which will expressly assume performance of FIBROGEN’s obligations hereunder. This Agreement shall bind and inure to the benefit of the successors and permitted assigns of the Parties. Any assignment of this Agreement in contravention of this Section 12.9 shall be null and void.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18" w:lineRule="exact"/>
        <w:rPr>
          <w:sz w:val="20"/>
          <w:szCs w:val="20"/>
          <w:color w:val="auto"/>
        </w:rPr>
      </w:pPr>
    </w:p>
    <w:p>
      <w:pPr>
        <w:ind w:right="20" w:firstLine="8"/>
        <w:spacing w:after="0" w:line="258" w:lineRule="auto"/>
        <w:tabs>
          <w:tab w:leader="none" w:pos="26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1" w:name="page122"/>
    <w:bookmarkEnd w:id="121"/>
    <w:p>
      <w:pPr>
        <w:jc w:val="both"/>
        <w:ind w:firstLine="864"/>
        <w:spacing w:after="0" w:line="242" w:lineRule="auto"/>
        <w:rPr>
          <w:sz w:val="20"/>
          <w:szCs w:val="20"/>
          <w:color w:val="auto"/>
        </w:rPr>
      </w:pPr>
      <w:r>
        <w:rPr>
          <w:rFonts w:ascii="Arial" w:cs="Arial" w:eastAsia="Arial" w:hAnsi="Arial"/>
          <w:sz w:val="20"/>
          <w:szCs w:val="20"/>
          <w:color w:val="auto"/>
        </w:rPr>
        <w:t xml:space="preserve">Section 12.10 </w:t>
      </w:r>
      <w:r>
        <w:rPr>
          <w:rFonts w:ascii="Arial" w:cs="Arial" w:eastAsia="Arial" w:hAnsi="Arial"/>
          <w:sz w:val="20"/>
          <w:szCs w:val="20"/>
          <w:u w:val="single" w:color="auto"/>
          <w:color w:val="auto"/>
        </w:rPr>
        <w:t>Performance by Affiliates</w:t>
      </w:r>
      <w:r>
        <w:rPr>
          <w:rFonts w:ascii="Arial" w:cs="Arial" w:eastAsia="Arial" w:hAnsi="Arial"/>
          <w:sz w:val="20"/>
          <w:szCs w:val="20"/>
          <w:color w:val="auto"/>
        </w:rPr>
        <w:t>. Notwithstanding Section 12.9, each Party may discharge any obligations and exercise any right hereunder through any of its Affiliates without assigning its rights or obligations or this Agreement to its Affiliates. Each Party will cause its Affiliates to comply with the provisions of this Agreement in connection with such performance. Any breach by a Party’s Affiliate of any of such Party’s obligations under this Agreement shall be deemed a breach by such Party, [*]. Without limiting the generality of the foregoing, this Agreement is executed by FIBROGEN, INC. for and on behalf of itself and all of its Affiliates, each of which is also a party to this Agreement. FIBROGEN, INC. shall cause its Affiliates to comply with the provisions of this Agreement in connection with such performance. Any breach by an Affiliate of any of FIBROGEN, INC.’s obligations under this Agreement shall be deemed a breach by FIBROGEN, INC., and ELUMINEX may proceed directly against FIBROGEN, INC. without any obligation to first proceed against FIBROGEN, INC.’s Affiliate.</w:t>
      </w:r>
    </w:p>
    <w:p>
      <w:pPr>
        <w:spacing w:after="0" w:line="19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 xml:space="preserve">Section 12.11 </w:t>
      </w:r>
      <w:r>
        <w:rPr>
          <w:rFonts w:ascii="Arial" w:cs="Arial" w:eastAsia="Arial" w:hAnsi="Arial"/>
          <w:sz w:val="19"/>
          <w:szCs w:val="19"/>
          <w:u w:val="single" w:color="auto"/>
          <w:color w:val="auto"/>
        </w:rPr>
        <w:t>Waivers</w:t>
      </w:r>
      <w:r>
        <w:rPr>
          <w:rFonts w:ascii="Arial" w:cs="Arial" w:eastAsia="Arial" w:hAnsi="Arial"/>
          <w:sz w:val="19"/>
          <w:szCs w:val="19"/>
          <w:color w:val="auto"/>
        </w:rPr>
        <w:t>. A Party’s consent to or waiver, express or implied, of any other Party’s breach of its obligations hereunder shall not be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spacing w:after="0" w:line="18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 xml:space="preserve">Section 12.12 </w:t>
      </w:r>
      <w:r>
        <w:rPr>
          <w:rFonts w:ascii="Arial" w:cs="Arial" w:eastAsia="Arial" w:hAnsi="Arial"/>
          <w:sz w:val="20"/>
          <w:szCs w:val="20"/>
          <w:u w:val="single" w:color="auto"/>
          <w:color w:val="auto"/>
        </w:rPr>
        <w:t>No Third Party Beneficiaries</w:t>
      </w:r>
      <w:r>
        <w:rPr>
          <w:rFonts w:ascii="Arial" w:cs="Arial" w:eastAsia="Arial" w:hAnsi="Arial"/>
          <w:sz w:val="20"/>
          <w:szCs w:val="20"/>
          <w:color w:val="auto"/>
        </w:rPr>
        <w:t>. Except as expressly provided with respect to FIBROGEN Indemnified Parties and ELUMINEX Indemnified Parties in Article 9, nothing in this Agreement shall be construed as giving any Person, other than the Parties and their respective Affiliates, successors and permitted assigns, any right, remedy or claim under or in respect of this Agreement or any provision hereof.</w:t>
      </w:r>
    </w:p>
    <w:p>
      <w:pPr>
        <w:spacing w:after="0" w:line="191"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 xml:space="preserve">Section 12.13 </w:t>
      </w:r>
      <w:r>
        <w:rPr>
          <w:rFonts w:ascii="Arial" w:cs="Arial" w:eastAsia="Arial" w:hAnsi="Arial"/>
          <w:sz w:val="20"/>
          <w:szCs w:val="20"/>
          <w:u w:val="single" w:color="auto"/>
          <w:color w:val="auto"/>
        </w:rPr>
        <w:t>Headings; Exhibits</w:t>
      </w:r>
      <w:r>
        <w:rPr>
          <w:rFonts w:ascii="Arial" w:cs="Arial" w:eastAsia="Arial" w:hAnsi="Arial"/>
          <w:sz w:val="20"/>
          <w:szCs w:val="20"/>
          <w:color w:val="auto"/>
        </w:rPr>
        <w:t>. Article and Section headings used herein are for convenient reference only, and are not a part of this Agreement. All Exhibits are incorporated herein by reference.</w:t>
      </w:r>
    </w:p>
    <w:p>
      <w:pPr>
        <w:spacing w:after="0" w:line="17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color w:val="auto"/>
        </w:rPr>
        <w:t xml:space="preserve">Section 12.14 </w:t>
      </w:r>
      <w:r>
        <w:rPr>
          <w:rFonts w:ascii="Arial" w:cs="Arial" w:eastAsia="Arial" w:hAnsi="Arial"/>
          <w:sz w:val="19"/>
          <w:szCs w:val="19"/>
          <w:u w:val="single" w:color="auto"/>
          <w:color w:val="auto"/>
        </w:rPr>
        <w:t>Interpretation</w:t>
      </w:r>
      <w:r>
        <w:rPr>
          <w:rFonts w:ascii="Arial" w:cs="Arial" w:eastAsia="Arial" w:hAnsi="Arial"/>
          <w:sz w:val="19"/>
          <w:szCs w:val="19"/>
          <w:color w:val="auto"/>
        </w:rPr>
        <w:t>. Except where the context otherwise requires, wherever used, the singular shall include the plural, the plural the singular, the use of any gender shall be applicable to all genders and the word “or” is used in the inclusive sense (and/or). The term “including” (or cognates thereof) as used herein shall mean including (or the cognate thereof), without limiting the generality of any description preceding such term. The term “will” as used herein means “shall.” All references to a “business day” or “business days” in this Agreement means any day other than a day which is a Saturday, a Sunday or any day banks are authorized or required to be closed in Suzhou or San Francisco. The language in all parts of this Agreement shall be deemed to be the language mutually chosen by the Parties. The Parties and their counsel have cooperated in the drafting and preparation of this Agreement, and this Agreement therefore shall not be construed against any Party by virtue of its role as the drafter thereof.</w:t>
      </w:r>
    </w:p>
    <w:p>
      <w:pPr>
        <w:spacing w:after="0" w:line="180"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color w:val="auto"/>
        </w:rPr>
        <w:t xml:space="preserve">Section 12.15 </w:t>
      </w:r>
      <w:r>
        <w:rPr>
          <w:rFonts w:ascii="Arial" w:cs="Arial" w:eastAsia="Arial" w:hAnsi="Arial"/>
          <w:sz w:val="19"/>
          <w:szCs w:val="19"/>
          <w:u w:val="single" w:color="auto"/>
          <w:color w:val="auto"/>
        </w:rPr>
        <w:t>Equitable Relief</w:t>
      </w:r>
      <w:r>
        <w:rPr>
          <w:rFonts w:ascii="Arial" w:cs="Arial" w:eastAsia="Arial" w:hAnsi="Arial"/>
          <w:sz w:val="19"/>
          <w:szCs w:val="19"/>
          <w:color w:val="auto"/>
        </w:rPr>
        <w:t xml:space="preserve">. Each Party acknowledges that a breach by it of the provisions of Article 10 may not reasonably or adequately be compensated in damages in an action at law and that such a breach may cause the other Party irreparable injury and damage. By reason thereof, each Party agrees that the other Party is entitled to seek, in addition to any other remedies it may have under this Agreement or otherwise, preliminary and permanent injunctive and other equitable relief to prevent or curtail any breach of Article 10 by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specification in this Agreement of a specific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18" w:lineRule="exact"/>
        <w:rPr>
          <w:sz w:val="20"/>
          <w:szCs w:val="20"/>
          <w:color w:val="auto"/>
        </w:rPr>
      </w:pPr>
    </w:p>
    <w:p>
      <w:pPr>
        <w:ind w:right="20" w:firstLine="8"/>
        <w:spacing w:after="0" w:line="258" w:lineRule="auto"/>
        <w:tabs>
          <w:tab w:leader="none" w:pos="26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22" w:name="page123"/>
    <w:bookmarkEnd w:id="122"/>
    <w:p>
      <w:pPr>
        <w:jc w:val="both"/>
        <w:spacing w:after="0" w:line="260" w:lineRule="auto"/>
        <w:rPr>
          <w:sz w:val="20"/>
          <w:szCs w:val="20"/>
          <w:color w:val="auto"/>
        </w:rPr>
      </w:pPr>
      <w:r>
        <w:rPr>
          <w:rFonts w:ascii="Arial" w:cs="Arial" w:eastAsia="Arial" w:hAnsi="Arial"/>
          <w:sz w:val="20"/>
          <w:szCs w:val="20"/>
          <w:color w:val="auto"/>
        </w:rPr>
        <w:t>legal or equitable remedy will be construed as a waiver or prohibition against the pursuing of other legal or equitable remedies in the event of such a breach.</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 xml:space="preserve">Section 12.16 </w:t>
      </w: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fire, floods, embargoes, power shortage or failure, acts of war (whether war be declared or not), epidemic or pandemic (including Covid-19), insurrections, riots, terrorism, civil commotions, strikes, lockouts or other labor disturbances, acts of God, or any acts, omissions, or delays in acting by any Governmental Authority or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affected Party promptly notifies the other Party in writing (and continues to provide monthly status updates to the other Party for the duration of the effect); and </w:t>
      </w:r>
      <w:r>
        <w:rPr>
          <w:rFonts w:ascii="Arial" w:cs="Arial" w:eastAsia="Arial" w:hAnsi="Arial"/>
          <w:sz w:val="19"/>
          <w:szCs w:val="19"/>
          <w:i w:val="1"/>
          <w:iCs w:val="1"/>
          <w:color w:val="auto"/>
        </w:rPr>
        <w:t>provided further</w:t>
      </w:r>
      <w:r>
        <w:rPr>
          <w:rFonts w:ascii="Arial" w:cs="Arial" w:eastAsia="Arial" w:hAnsi="Arial"/>
          <w:sz w:val="19"/>
          <w:szCs w:val="19"/>
          <w:color w:val="auto"/>
        </w:rPr>
        <w:t>, however, that the affected Party shall [*] avoid or remove such causes of non-performance and to mitigate the effect of such occurrence, and shall continue performance with reasonable dispatch whenever such causes are removed.</w:t>
      </w:r>
    </w:p>
    <w:p>
      <w:pPr>
        <w:spacing w:after="0" w:line="18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Section 12.17 </w:t>
      </w:r>
      <w:r>
        <w:rPr>
          <w:rFonts w:ascii="Arial" w:cs="Arial" w:eastAsia="Arial" w:hAnsi="Arial"/>
          <w:sz w:val="20"/>
          <w:szCs w:val="20"/>
          <w:u w:val="single" w:color="auto"/>
          <w:color w:val="auto"/>
        </w:rPr>
        <w:t>Further Assurances</w:t>
      </w:r>
      <w:r>
        <w:rPr>
          <w:rFonts w:ascii="Arial" w:cs="Arial" w:eastAsia="Arial" w:hAnsi="Arial"/>
          <w:sz w:val="20"/>
          <w:szCs w:val="20"/>
          <w:color w:val="auto"/>
        </w:rPr>
        <w:t>. Each Party shall execute, acknowledge, and deliver such further instructions, and to do all such other acts, as may be necessary or appropriate in order to carry out the purposes and intent of this Agreement. Without limiting the generality of the foregoing, [*].</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 xml:space="preserve">Section 12.18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by a single Party, each of which when taken together shall constitute one and the same agreement, and may be executed through the use of facsimiles or .pdf or other electronically transmitted documents.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18" w:lineRule="exact"/>
        <w:rPr>
          <w:sz w:val="20"/>
          <w:szCs w:val="20"/>
          <w:color w:val="auto"/>
        </w:rPr>
      </w:pPr>
    </w:p>
    <w:p>
      <w:pPr>
        <w:ind w:right="20" w:firstLine="8"/>
        <w:spacing w:after="0" w:line="258" w:lineRule="auto"/>
        <w:tabs>
          <w:tab w:leader="none" w:pos="26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23" w:name="page124"/>
    <w:bookmarkEnd w:id="123"/>
    <w:p>
      <w:pPr>
        <w:ind w:left="88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as of the date first set forth above.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ELUMINEX BIOSCIENCES (SUZHOU) LIMITED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Jinzhong Zhang</w:t>
            </w:r>
          </w:p>
        </w:tc>
      </w:tr>
      <w:tr>
        <w:trPr>
          <w:trHeight w:val="480"/>
        </w:trPr>
        <w:tc>
          <w:tcPr>
            <w:tcW w:w="960" w:type="dxa"/>
            <w:vAlign w:val="bottom"/>
          </w:tcPr>
          <w:p>
            <w:pPr>
              <w:spacing w:after="0"/>
              <w:rPr>
                <w:sz w:val="20"/>
                <w:szCs w:val="20"/>
                <w:color w:val="auto"/>
              </w:rPr>
            </w:pPr>
            <w:r>
              <w:rPr>
                <w:rFonts w:ascii="Arial" w:cs="Arial" w:eastAsia="Arial" w:hAnsi="Arial"/>
                <w:sz w:val="20"/>
                <w:szCs w:val="20"/>
                <w:color w:val="auto"/>
              </w:rPr>
              <w:t>Name:</w:t>
            </w:r>
          </w:p>
        </w:tc>
        <w:tc>
          <w:tcPr>
            <w:tcW w:w="4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Jinzhong Zhang Ph.D.</w:t>
            </w:r>
          </w:p>
        </w:tc>
      </w:tr>
      <w:tr>
        <w:trPr>
          <w:trHeight w:val="479"/>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Chief Executive Officer</w:t>
            </w:r>
          </w:p>
        </w:tc>
      </w:tr>
      <w:tr>
        <w:trPr>
          <w:trHeight w:val="880"/>
        </w:trPr>
        <w:tc>
          <w:tcPr>
            <w:tcW w:w="5620" w:type="dxa"/>
            <w:vAlign w:val="bottom"/>
            <w:gridSpan w:val="2"/>
          </w:tcPr>
          <w:p>
            <w:pPr>
              <w:spacing w:after="0"/>
              <w:rPr>
                <w:sz w:val="20"/>
                <w:szCs w:val="20"/>
                <w:color w:val="auto"/>
              </w:rPr>
            </w:pPr>
            <w:r>
              <w:rPr>
                <w:rFonts w:ascii="Arial" w:cs="Arial" w:eastAsia="Arial" w:hAnsi="Arial"/>
                <w:sz w:val="20"/>
                <w:szCs w:val="20"/>
                <w:b w:val="1"/>
                <w:bCs w:val="1"/>
                <w:color w:val="auto"/>
              </w:rPr>
              <w:t>FIBROGEN, INC.</w:t>
            </w:r>
          </w:p>
        </w:tc>
      </w:tr>
      <w:tr>
        <w:trPr>
          <w:trHeight w:val="666"/>
        </w:trPr>
        <w:tc>
          <w:tcPr>
            <w:tcW w:w="960" w:type="dxa"/>
            <w:vAlign w:val="bottom"/>
          </w:tcPr>
          <w:p>
            <w:pPr>
              <w:spacing w:after="0"/>
              <w:rPr>
                <w:sz w:val="20"/>
                <w:szCs w:val="20"/>
                <w:color w:val="auto"/>
              </w:rPr>
            </w:pPr>
            <w:r>
              <w:rPr>
                <w:rFonts w:ascii="Arial" w:cs="Arial" w:eastAsia="Arial" w:hAnsi="Arial"/>
                <w:sz w:val="20"/>
                <w:szCs w:val="20"/>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Enrique Conterno</w:t>
            </w:r>
          </w:p>
        </w:tc>
      </w:tr>
      <w:tr>
        <w:trPr>
          <w:trHeight w:val="479"/>
        </w:trPr>
        <w:tc>
          <w:tcPr>
            <w:tcW w:w="960" w:type="dxa"/>
            <w:vAlign w:val="bottom"/>
          </w:tcPr>
          <w:p>
            <w:pPr>
              <w:spacing w:after="0"/>
              <w:rPr>
                <w:sz w:val="20"/>
                <w:szCs w:val="20"/>
                <w:color w:val="auto"/>
              </w:rPr>
            </w:pPr>
            <w:r>
              <w:rPr>
                <w:rFonts w:ascii="Arial" w:cs="Arial" w:eastAsia="Arial" w:hAnsi="Arial"/>
                <w:sz w:val="20"/>
                <w:szCs w:val="20"/>
                <w:color w:val="auto"/>
              </w:rPr>
              <w:t>Name:</w:t>
            </w:r>
          </w:p>
        </w:tc>
        <w:tc>
          <w:tcPr>
            <w:tcW w:w="4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Enrique Conterno</w:t>
            </w:r>
          </w:p>
        </w:tc>
      </w:tr>
      <w:tr>
        <w:trPr>
          <w:trHeight w:val="480"/>
        </w:trPr>
        <w:tc>
          <w:tcPr>
            <w:tcW w:w="960" w:type="dxa"/>
            <w:vAlign w:val="bottom"/>
          </w:tcPr>
          <w:p>
            <w:pPr>
              <w:spacing w:after="0"/>
              <w:rPr>
                <w:sz w:val="20"/>
                <w:szCs w:val="20"/>
                <w:color w:val="auto"/>
              </w:rPr>
            </w:pPr>
            <w:r>
              <w:rPr>
                <w:rFonts w:ascii="Arial" w:cs="Arial" w:eastAsia="Arial" w:hAnsi="Arial"/>
                <w:sz w:val="20"/>
                <w:szCs w:val="20"/>
                <w:color w:val="auto"/>
              </w:rPr>
              <w:t>Title:</w:t>
            </w:r>
          </w:p>
        </w:tc>
        <w:tc>
          <w:tcPr>
            <w:tcW w:w="4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Exclusive License Agreement]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pacing w:after="0" w:line="2" w:lineRule="exact"/>
        <w:rPr>
          <w:sz w:val="20"/>
          <w:szCs w:val="20"/>
          <w:color w:val="auto"/>
        </w:rPr>
      </w:pPr>
    </w:p>
    <w:p>
      <w:pPr>
        <w:ind w:firstLine="8"/>
        <w:spacing w:after="0" w:line="258" w:lineRule="auto"/>
        <w:tabs>
          <w:tab w:leader="none" w:pos="2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24" w:name="page125"/>
    <w:bookmarkEnd w:id="124"/>
    <w:p>
      <w:pPr>
        <w:jc w:val="center"/>
        <w:ind w:right="-11"/>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FIBROGEN KNOW-HOW</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34</w:t>
      </w:r>
    </w:p>
    <w:p>
      <w:pPr>
        <w:spacing w:after="0" w:line="18" w:lineRule="exact"/>
        <w:rPr>
          <w:sz w:val="20"/>
          <w:szCs w:val="20"/>
          <w:color w:val="auto"/>
        </w:rPr>
      </w:pPr>
    </w:p>
    <w:p>
      <w:pPr>
        <w:ind w:left="-8" w:firstLine="8"/>
        <w:spacing w:after="0" w:line="258" w:lineRule="auto"/>
        <w:tabs>
          <w:tab w:leader="none" w:pos="25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981" w:right="359" w:bottom="1440" w:gutter="0" w:footer="0" w:header="0"/>
        </w:sectPr>
      </w:pPr>
    </w:p>
    <w:bookmarkStart w:id="125" w:name="page126"/>
    <w:bookmarkEnd w:id="125"/>
    <w:p>
      <w:pPr>
        <w:jc w:val="center"/>
        <w:ind w:right="-11"/>
        <w:spacing w:after="0"/>
        <w:rPr>
          <w:sz w:val="20"/>
          <w:szCs w:val="20"/>
          <w:color w:val="auto"/>
        </w:rPr>
      </w:pPr>
      <w:r>
        <w:rPr>
          <w:rFonts w:ascii="Arial" w:cs="Arial" w:eastAsia="Arial" w:hAnsi="Arial"/>
          <w:sz w:val="20"/>
          <w:szCs w:val="20"/>
          <w:b w:val="1"/>
          <w:bCs w:val="1"/>
          <w:color w:val="auto"/>
        </w:rPr>
        <w:t>EXHIBIT B</w:t>
      </w:r>
    </w:p>
    <w:p>
      <w:pPr>
        <w:spacing w:after="0" w:line="243"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EXISTING FIBROGEN PATENTS</w:t>
      </w:r>
    </w:p>
    <w:p>
      <w:pPr>
        <w:spacing w:after="0" w:line="22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35</w:t>
      </w:r>
    </w:p>
    <w:p>
      <w:pPr>
        <w:spacing w:after="0" w:line="18" w:lineRule="exact"/>
        <w:rPr>
          <w:sz w:val="20"/>
          <w:szCs w:val="20"/>
          <w:color w:val="auto"/>
        </w:rPr>
      </w:pPr>
    </w:p>
    <w:p>
      <w:pPr>
        <w:ind w:left="-8" w:firstLine="8"/>
        <w:spacing w:after="0" w:line="258" w:lineRule="auto"/>
        <w:tabs>
          <w:tab w:leader="none" w:pos="25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981" w:right="359" w:bottom="1440" w:gutter="0" w:footer="0" w:header="0"/>
        </w:sectPr>
      </w:pPr>
    </w:p>
    <w:bookmarkStart w:id="126" w:name="page127"/>
    <w:bookmarkEnd w:id="126"/>
    <w:p>
      <w:pPr>
        <w:jc w:val="center"/>
        <w:ind w:right="-11"/>
        <w:spacing w:after="0"/>
        <w:rPr>
          <w:sz w:val="20"/>
          <w:szCs w:val="20"/>
          <w:color w:val="auto"/>
        </w:rPr>
      </w:pPr>
      <w:r>
        <w:rPr>
          <w:rFonts w:ascii="Arial" w:cs="Arial" w:eastAsia="Arial" w:hAnsi="Arial"/>
          <w:sz w:val="20"/>
          <w:szCs w:val="20"/>
          <w:b w:val="1"/>
          <w:bCs w:val="1"/>
          <w:color w:val="auto"/>
        </w:rPr>
        <w:t>EXHIBIT C</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EQUIPMENT</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36</w:t>
      </w:r>
    </w:p>
    <w:p>
      <w:pPr>
        <w:spacing w:after="0" w:line="18" w:lineRule="exact"/>
        <w:rPr>
          <w:sz w:val="20"/>
          <w:szCs w:val="20"/>
          <w:color w:val="auto"/>
        </w:rPr>
      </w:pPr>
    </w:p>
    <w:p>
      <w:pPr>
        <w:ind w:left="-8" w:firstLine="8"/>
        <w:spacing w:after="0" w:line="258" w:lineRule="auto"/>
        <w:tabs>
          <w:tab w:leader="none" w:pos="25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981" w:right="359" w:bottom="1440" w:gutter="0" w:footer="0" w:header="0"/>
        </w:sectPr>
      </w:pPr>
    </w:p>
    <w:bookmarkStart w:id="127" w:name="page128"/>
    <w:bookmarkEnd w:id="127"/>
    <w:p>
      <w:pPr>
        <w:jc w:val="center"/>
        <w:ind w:right="-11"/>
        <w:spacing w:after="0"/>
        <w:rPr>
          <w:sz w:val="20"/>
          <w:szCs w:val="20"/>
          <w:color w:val="auto"/>
        </w:rPr>
      </w:pPr>
      <w:r>
        <w:rPr>
          <w:rFonts w:ascii="Arial" w:cs="Arial" w:eastAsia="Arial" w:hAnsi="Arial"/>
          <w:sz w:val="20"/>
          <w:szCs w:val="20"/>
          <w:b w:val="1"/>
          <w:bCs w:val="1"/>
          <w:color w:val="auto"/>
        </w:rPr>
        <w:t>EXHIBIT D</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MANUFACTURE TECHNOLOGY TRANSFER PLAN</w:t>
      </w:r>
    </w:p>
    <w:p>
      <w:pPr>
        <w:spacing w:after="0" w:line="22"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37</w:t>
      </w:r>
    </w:p>
    <w:p>
      <w:pPr>
        <w:spacing w:after="0" w:line="18" w:lineRule="exact"/>
        <w:rPr>
          <w:sz w:val="20"/>
          <w:szCs w:val="20"/>
          <w:color w:val="auto"/>
        </w:rPr>
      </w:pPr>
    </w:p>
    <w:p>
      <w:pPr>
        <w:ind w:left="-8" w:firstLine="8"/>
        <w:spacing w:after="0" w:line="258" w:lineRule="auto"/>
        <w:tabs>
          <w:tab w:leader="none" w:pos="25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1197" w:right="359" w:bottom="1440" w:gutter="0" w:footer="0" w:header="0"/>
        </w:sectPr>
      </w:pPr>
    </w:p>
    <w:bookmarkStart w:id="128" w:name="page129"/>
    <w:bookmarkEnd w:id="128"/>
    <w:p>
      <w:pPr>
        <w:jc w:val="center"/>
        <w:ind w:right="-11"/>
        <w:spacing w:after="0"/>
        <w:rPr>
          <w:sz w:val="20"/>
          <w:szCs w:val="20"/>
          <w:color w:val="auto"/>
        </w:rPr>
      </w:pPr>
      <w:r>
        <w:rPr>
          <w:rFonts w:ascii="Arial" w:cs="Arial" w:eastAsia="Arial" w:hAnsi="Arial"/>
          <w:sz w:val="20"/>
          <w:szCs w:val="20"/>
          <w:b w:val="1"/>
          <w:bCs w:val="1"/>
          <w:color w:val="auto"/>
        </w:rPr>
        <w:t>EXHIBIT D</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MANUFACTURE TECHNOLOGY TRANSFER PLAN (CONTINUED)</w:t>
      </w:r>
    </w:p>
    <w:p>
      <w:pPr>
        <w:spacing w:after="0" w:line="22"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38</w:t>
      </w:r>
    </w:p>
    <w:p>
      <w:pPr>
        <w:spacing w:after="0" w:line="18" w:lineRule="exact"/>
        <w:rPr>
          <w:sz w:val="20"/>
          <w:szCs w:val="20"/>
          <w:color w:val="auto"/>
        </w:rPr>
      </w:pPr>
    </w:p>
    <w:p>
      <w:pPr>
        <w:ind w:left="-8" w:firstLine="8"/>
        <w:spacing w:after="0" w:line="258" w:lineRule="auto"/>
        <w:tabs>
          <w:tab w:leader="none" w:pos="25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1197" w:right="359" w:bottom="1440" w:gutter="0" w:footer="0" w:header="0"/>
        </w:sectPr>
      </w:pPr>
    </w:p>
    <w:bookmarkStart w:id="129" w:name="page130"/>
    <w:bookmarkEnd w:id="129"/>
    <w:p>
      <w:pPr>
        <w:jc w:val="center"/>
        <w:ind w:right="-11"/>
        <w:spacing w:after="0"/>
        <w:rPr>
          <w:sz w:val="20"/>
          <w:szCs w:val="20"/>
          <w:color w:val="auto"/>
        </w:rPr>
      </w:pPr>
      <w:r>
        <w:rPr>
          <w:rFonts w:ascii="Arial" w:cs="Arial" w:eastAsia="Arial" w:hAnsi="Arial"/>
          <w:sz w:val="20"/>
          <w:szCs w:val="20"/>
          <w:b w:val="1"/>
          <w:bCs w:val="1"/>
          <w:color w:val="auto"/>
        </w:rPr>
        <w:t>EXHIBIT D</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MANUFACTURE TECHNOLOGY TRANSFER PLAN (CONTINUED)</w:t>
      </w:r>
    </w:p>
    <w:p>
      <w:pPr>
        <w:spacing w:after="0" w:line="22"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39</w:t>
      </w:r>
    </w:p>
    <w:p>
      <w:pPr>
        <w:spacing w:after="0" w:line="18" w:lineRule="exact"/>
        <w:rPr>
          <w:sz w:val="20"/>
          <w:szCs w:val="20"/>
          <w:color w:val="auto"/>
        </w:rPr>
      </w:pPr>
    </w:p>
    <w:p>
      <w:pPr>
        <w:ind w:left="-8" w:firstLine="8"/>
        <w:spacing w:after="0" w:line="258" w:lineRule="auto"/>
        <w:tabs>
          <w:tab w:leader="none" w:pos="25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1197" w:right="35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20"/>
          <w:szCs w:val="20"/>
          <w:b w:val="1"/>
          <w:bCs w:val="1"/>
          <w:color w:val="auto"/>
        </w:rPr>
        <w:t>EXHIBIT 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THIRD PARTY PATENT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pacing w:after="0" w:line="18" w:lineRule="exact"/>
        <w:rPr>
          <w:sz w:val="20"/>
          <w:szCs w:val="20"/>
          <w:color w:val="auto"/>
        </w:rPr>
      </w:pPr>
    </w:p>
    <w:p>
      <w:pPr>
        <w:ind w:firstLine="8"/>
        <w:spacing w:after="0" w:line="258" w:lineRule="auto"/>
        <w:tabs>
          <w:tab w:leader="none" w:pos="26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0"/>
          <w:szCs w:val="20"/>
          <w:b w:val="1"/>
          <w:bCs w:val="1"/>
          <w:color w:val="auto"/>
        </w:rPr>
        <w:t>EXHIBIT 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PRESS RELEASE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40" w:right="680"/>
        <w:spacing w:after="0" w:line="282" w:lineRule="auto"/>
        <w:rPr>
          <w:sz w:val="20"/>
          <w:szCs w:val="20"/>
          <w:color w:val="auto"/>
        </w:rPr>
      </w:pPr>
      <w:r>
        <w:rPr>
          <w:rFonts w:ascii="Arial" w:cs="Arial" w:eastAsia="Arial" w:hAnsi="Arial"/>
          <w:sz w:val="25"/>
          <w:szCs w:val="25"/>
          <w:b w:val="1"/>
          <w:bCs w:val="1"/>
          <w:color w:val="auto"/>
        </w:rPr>
        <w:t>Eluminex Biosciences Exclusively Licenses FibroGen’s Biosynthetic Cornea Technology and Recombinant Collagen III Platform</w:t>
      </w:r>
    </w:p>
    <w:p>
      <w:pPr>
        <w:spacing w:after="0" w:line="141" w:lineRule="exact"/>
        <w:rPr>
          <w:sz w:val="20"/>
          <w:szCs w:val="20"/>
          <w:color w:val="auto"/>
        </w:rPr>
      </w:pPr>
    </w:p>
    <w:p>
      <w:pPr>
        <w:ind w:left="1200" w:right="780" w:hanging="436"/>
        <w:spacing w:after="0" w:line="246" w:lineRule="auto"/>
        <w:tabs>
          <w:tab w:leader="none" w:pos="1200" w:val="left"/>
        </w:tabs>
        <w:numPr>
          <w:ilvl w:val="0"/>
          <w:numId w:val="134"/>
        </w:numPr>
        <w:rPr>
          <w:rFonts w:ascii="Arial" w:cs="Arial" w:eastAsia="Arial" w:hAnsi="Arial"/>
          <w:sz w:val="20"/>
          <w:szCs w:val="20"/>
          <w:color w:val="auto"/>
        </w:rPr>
      </w:pPr>
      <w:r>
        <w:rPr>
          <w:rFonts w:ascii="Arial" w:cs="Arial" w:eastAsia="Arial" w:hAnsi="Arial"/>
          <w:sz w:val="20"/>
          <w:szCs w:val="20"/>
          <w:i w:val="1"/>
          <w:iCs w:val="1"/>
          <w:color w:val="auto"/>
        </w:rPr>
        <w:t>Exclusive Global Development and Commercialization Rights for Recombinant Human Collagen-Based Biosynthetic Cornea</w:t>
      </w:r>
    </w:p>
    <w:p>
      <w:pPr>
        <w:spacing w:after="0" w:line="68" w:lineRule="exact"/>
        <w:rPr>
          <w:rFonts w:ascii="Arial" w:cs="Arial" w:eastAsia="Arial" w:hAnsi="Arial"/>
          <w:sz w:val="20"/>
          <w:szCs w:val="20"/>
          <w:color w:val="auto"/>
        </w:rPr>
      </w:pPr>
    </w:p>
    <w:p>
      <w:pPr>
        <w:ind w:left="1200" w:hanging="436"/>
        <w:spacing w:after="0"/>
        <w:tabs>
          <w:tab w:leader="none" w:pos="1200" w:val="left"/>
        </w:tabs>
        <w:numPr>
          <w:ilvl w:val="0"/>
          <w:numId w:val="134"/>
        </w:numPr>
        <w:rPr>
          <w:rFonts w:ascii="Arial" w:cs="Arial" w:eastAsia="Arial" w:hAnsi="Arial"/>
          <w:sz w:val="20"/>
          <w:szCs w:val="20"/>
          <w:color w:val="auto"/>
        </w:rPr>
      </w:pPr>
      <w:r>
        <w:rPr>
          <w:rFonts w:ascii="Arial" w:cs="Arial" w:eastAsia="Arial" w:hAnsi="Arial"/>
          <w:sz w:val="20"/>
          <w:szCs w:val="20"/>
          <w:i w:val="1"/>
          <w:iCs w:val="1"/>
          <w:color w:val="auto"/>
        </w:rPr>
        <w:t>Clinical Stage Asset Has Potential for First Approved Biosynthetic Human Cornea</w:t>
      </w:r>
    </w:p>
    <w:p>
      <w:pPr>
        <w:spacing w:after="0" w:line="94" w:lineRule="exact"/>
        <w:rPr>
          <w:rFonts w:ascii="Arial" w:cs="Arial" w:eastAsia="Arial" w:hAnsi="Arial"/>
          <w:sz w:val="20"/>
          <w:szCs w:val="20"/>
          <w:color w:val="auto"/>
        </w:rPr>
      </w:pPr>
    </w:p>
    <w:p>
      <w:pPr>
        <w:ind w:left="1200" w:right="1180" w:hanging="436"/>
        <w:spacing w:after="0" w:line="246" w:lineRule="auto"/>
        <w:tabs>
          <w:tab w:leader="none" w:pos="1200" w:val="left"/>
        </w:tabs>
        <w:numPr>
          <w:ilvl w:val="0"/>
          <w:numId w:val="134"/>
        </w:numPr>
        <w:rPr>
          <w:rFonts w:ascii="Arial" w:cs="Arial" w:eastAsia="Arial" w:hAnsi="Arial"/>
          <w:sz w:val="20"/>
          <w:szCs w:val="20"/>
          <w:color w:val="auto"/>
        </w:rPr>
      </w:pPr>
      <w:r>
        <w:rPr>
          <w:rFonts w:ascii="Arial" w:cs="Arial" w:eastAsia="Arial" w:hAnsi="Arial"/>
          <w:sz w:val="20"/>
          <w:szCs w:val="20"/>
          <w:i w:val="1"/>
          <w:iCs w:val="1"/>
          <w:color w:val="auto"/>
        </w:rPr>
        <w:t>Biosynthetic Cornea Designed to Address Significant Unmet Need in Global Demand for Corneal Grafts for the Treatment of Corneal Blindness</w:t>
      </w:r>
    </w:p>
    <w:p>
      <w:pPr>
        <w:spacing w:after="0" w:line="68" w:lineRule="exact"/>
        <w:rPr>
          <w:rFonts w:ascii="Arial" w:cs="Arial" w:eastAsia="Arial" w:hAnsi="Arial"/>
          <w:sz w:val="20"/>
          <w:szCs w:val="20"/>
          <w:color w:val="auto"/>
        </w:rPr>
      </w:pPr>
    </w:p>
    <w:p>
      <w:pPr>
        <w:ind w:left="1200" w:hanging="436"/>
        <w:spacing w:after="0"/>
        <w:tabs>
          <w:tab w:leader="none" w:pos="1200" w:val="left"/>
        </w:tabs>
        <w:numPr>
          <w:ilvl w:val="0"/>
          <w:numId w:val="134"/>
        </w:numPr>
        <w:rPr>
          <w:rFonts w:ascii="Arial" w:cs="Arial" w:eastAsia="Arial" w:hAnsi="Arial"/>
          <w:sz w:val="20"/>
          <w:szCs w:val="20"/>
          <w:color w:val="auto"/>
        </w:rPr>
      </w:pPr>
      <w:r>
        <w:rPr>
          <w:rFonts w:ascii="Arial" w:cs="Arial" w:eastAsia="Arial" w:hAnsi="Arial"/>
          <w:sz w:val="20"/>
          <w:szCs w:val="20"/>
          <w:i w:val="1"/>
          <w:iCs w:val="1"/>
          <w:color w:val="auto"/>
        </w:rPr>
        <w:t>Edward Holland, MD, Joins Eluminex’s Scientific Advisory Board</w:t>
      </w:r>
    </w:p>
    <w:p>
      <w:pPr>
        <w:spacing w:after="0" w:line="3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SUZHOU, China and SAN FRANCISCO, CA, July 19, 2021 / PRNewswire/-- Eluminex Biosciences (Suzhou) Limited (Eluminex), an ophthalmology-focused biotechnology company headquartered in Suzhou, China with a US-subsidiary office in San Francisco Bay Area, California, announced today that it has exclusively licensed global rights for the development and commercialization of an investigational biosynthetic cornea derived from recombinant human collagen Type III intended to treat patients with corneal blindness, from FibroGen, Inc. (FibroGen; NASDAQ: FGEN).</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are extremely excited to bring this novel technology initially to the China market to help meet a large unmet medical need for an alternative to human donor cornea tissue,” commented Dr. Jinzhong (“JZ”) Zhang, Chairman and CEO of Eluminex. “Over 100,000 cases of corneal blindness occur each year in China due to scarring from traumatic injury or infection that could be treated with a surgically implanted bioengineered cornea. Typical treatments in China include human donor corneal transplantation or use of corneal tissue harvested from genetically modified pigs. There is a significant shortage of human donor tissue and porcine corneas have issues with a lack of optical clarity and durability, however, and both methods require the need for additional immunosuppressive medications to prevent graft rejection. The biosynthetic cornea, that is optically clear, offers an alternative using human Type III collagen, a key structural protein that is found in normal human corneas and therefore does not require immunosuppressive medications.”</w:t>
      </w:r>
    </w:p>
    <w:p>
      <w:pPr>
        <w:spacing w:after="0" w:line="6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Under the terms of the agreement, Eluminex will make an $8 million upfront payment to FibroGen. In addition, FibroGen may receive up to a total of $64 million in future manufacturing, clinical, regulatory, and commercial milestone payments for the biosynthetic cornea program, as well as $36 million in commercial milestones for the first recombinant collagen III product that is not the biosynthetic cornea. FibroGen will also be eligible to receive royalties based upon worldwide net sales.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18" w:lineRule="exact"/>
        <w:rPr>
          <w:sz w:val="20"/>
          <w:szCs w:val="20"/>
          <w:color w:val="auto"/>
        </w:rPr>
      </w:pPr>
    </w:p>
    <w:p>
      <w:pPr>
        <w:ind w:right="20" w:firstLine="8"/>
        <w:spacing w:after="0" w:line="258" w:lineRule="auto"/>
        <w:tabs>
          <w:tab w:leader="none" w:pos="2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jc w:val="both"/>
        <w:spacing w:after="0" w:line="259" w:lineRule="auto"/>
        <w:rPr>
          <w:sz w:val="20"/>
          <w:szCs w:val="20"/>
          <w:color w:val="auto"/>
        </w:rPr>
      </w:pPr>
      <w:r>
        <w:rPr>
          <w:rFonts w:ascii="Arial" w:cs="Arial" w:eastAsia="Arial" w:hAnsi="Arial"/>
          <w:sz w:val="19"/>
          <w:szCs w:val="19"/>
          <w:color w:val="auto"/>
        </w:rPr>
        <w:t>Eluminex also announced that Edward Holland, M.D., has joined the company’s Scientific Advisory Board (SAB). Charles Semba, M.D. and Chief Medical Officer of Eluminex commented, “We are excited to introduce Dr. Edward Holland, Professor of Ophthalmology at the University of Cincinnati and Director of the Cornea Service at the Cincinnati Eye Institute and past Chairman of the Eye Bank Association of America, as the newest member of our SAB. He is an internationally recognized expert in corneal allograft surgery and ocular surface disease. Additionally, over the past three decades, he has taught and lectured in China regarding corneal transplant techniques and will provide us critical insights into our biosynthetic cornea program.”</w:t>
      </w:r>
    </w:p>
    <w:p>
      <w:pPr>
        <w:spacing w:after="0" w:line="70"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possibility for an abundant global supply of a biosynthetic human corneal tissue substitute has real potential to transform the lives of the hundreds of thousands of patients around the world in regions where corneal donations are scarce and who otherwise are unlikely to receive a sight-saving corneal transplant,” said Dr. Holland.</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are pleased to enter into this agreement with Eluminex and license this technology to a seasoned ophthalmology team,” said Enrique Conterno, CEO of FibroGen. “This transaction enables FibroGen to focus on development of next generation biopharmaceutical therapies in our core areas of cancer, autoimmune and fibrotic diseases, and anemia.”</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Eluminex Biosynthetic Cornea Program</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Eluminex biosynthetic cornea (EB-301) is a clinical stage corneal stromal substitute that will be initially developed for the China market. EB-301 is regulated as a Class III medical device and is anticipated to enter a clinical market authorization registration study in China in 2H 2022 to confirm its safety and effectiveness. The corneal device has been implanted in 10 patients in Europe with 4 years of follow-up and has demonstrated excellent biocompatibility, maintenance of optical clarity, and significantly improved visual acuity without immunosuppression. (Fagerholm et al, Biomaterials, 35 (2014): 2420-2427).</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Corneal Blindness in China</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According to the World Health Organization, corneal diseases are one of the leading causes of blindness globally. Approximately 180,000 sight-restoring corneal transplantations are performed worldwide in which nearly a quarter are conducted in the United States. China is the largest most populous developing country in the world and corneal diseases are the second leading cause of blindness with an estimated 2-3 million patients with corneal blindness in at least one eye. However, due to the scarcity of donor corneas, only approximately 5000 to 9000 corneal transplants are conducted in China each year. Corneal porcine xenografts have been available in China since 2015 but technical issues remain with the lack of optical clarity and secondary immunologic complications (eg, graft dissolution and graft rejection). An unmet need exists for a suitable corneal stromal tissue replacement as an alternative to the shortage of donated human cornea and an alternative to porcine xenografts.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Eluminex Biosciences</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Eluminex Biosciences is a privately-held clinical-stage biotechnology company focused on both global and regional development and commercialization of innovative therapeutics to fulfill unmet medical needs in the treatment and management of ophthalmic diseases. Eluminex is devoted towards innovating the next generation of first-in-class or best-in-class ocular therapeutics for vision-threatening or lifestyle-limiting ocular diseases. In addition to the biosynthetic cornea (EB-301), Eluminex has developed a pipeline of next generation protein therapeutics for retinal diseases (EB-101, EB-102, EB-105, and EB-107) including age-related macular degeneration, macular edema, and diabetic retinopathy; these assets are wholly owned and developed by Eluminex. The Eluminex global headquarters and research and development center are located in Suzhou BioBay Industrial Park, China with a US-subsidiary located in the San Francisco Bay Area. Eluminex is supported by three premiere global life science venture funds: Lilly Asia Ventures, Hill House Capital, and Quan Capital. For more information, please visit www.eluminexbio.com.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18" w:lineRule="exact"/>
        <w:rPr>
          <w:sz w:val="20"/>
          <w:szCs w:val="20"/>
          <w:color w:val="auto"/>
        </w:rPr>
      </w:pPr>
    </w:p>
    <w:p>
      <w:pPr>
        <w:ind w:right="20" w:firstLine="8"/>
        <w:spacing w:after="0" w:line="258" w:lineRule="auto"/>
        <w:tabs>
          <w:tab w:leader="none" w:pos="26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b w:val="1"/>
          <w:bCs w:val="1"/>
          <w:color w:val="auto"/>
        </w:rPr>
        <w:t>About FibroGen</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FibroGen, Inc. is a biopharmaceutical company committed to discovering, developing, and commercializing a pipeline of first-in-class therapeutics. The Company applies its pioneering expertise in hypoxia-inducible factor (HIF) and connective tissue growth factor (CTGF) biology to advance innovative medicines for the treatment of unmet needs. The Company is currently developing and commercializing roxadustat, an oral small molecule inhibitor of HIF prolyl hydroxylase activity, for anemia associated with chronic kidney disease (CKD). Roxadustat is also in clinical development for anemia associated with myelodysplastic syndromes (MDS) and for chemotherapy-induced anemia (CIA). Pamrevlumab, an anti-CTGF human monoclonal antibody, is in clinical development for the treatment of locally advanced unresectable pancreatic cancer (LAPC), Duchenne muscular dystrophy (DMD), and idiopathic pulmonary fibrosis (IPF). For more information, please visit www.fibrogen.com.</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 of FibroGen</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This release contains forward-looking statements regarding our strategy, future plans and prospects, including statements regarding the company’s product candidates subject to the transaction described above, the potential safety and efficacy profile of the product candidates, their commercial prospects and the incidence and prevalence of possible indications of use for such products and existing treatments. These forward-looking statements include, but are not limited to, statements about our plans, objectives, representations and contentions and are not historical facts and typically are identified by use of terms such as “may,” “will”, “should,” “on track,” “could,” “expect,” “plan,” “anticipate,” “believe,” “estimate,” “predict,” “potential,” “continue” and similar, although some forward-looking statements are expressed differently. Our actual results may differ materially from those indicated in these forward-looking statements due to risks and uncertainties related to the continued progress and timing of our various programs, including the enrollment and results from ongoing and potential future clinical trials, and other matters that are described in our Annual Report on Form 10-K for the fiscal year ended December 31, 2020 and our Quarterly Report on Form 10-Q for quarter ended March 31, 2021 filed with the Securities and Exchange Commission (SEC), including the risk factors set forth therein. Investors are cautioned not to place undue reliance on these forward-looking statements, which speak only as of the date of this release, and we undertake no obligation to update any forward-looking statement in this press release, except as required by law.</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FibroGen, Inc.</w:t>
      </w:r>
    </w:p>
    <w:p>
      <w:pPr>
        <w:spacing w:after="0"/>
        <w:rPr>
          <w:sz w:val="20"/>
          <w:szCs w:val="20"/>
          <w:color w:val="auto"/>
        </w:rPr>
      </w:pPr>
      <w:r>
        <w:rPr>
          <w:rFonts w:ascii="Arial" w:cs="Arial" w:eastAsia="Arial" w:hAnsi="Arial"/>
          <w:sz w:val="20"/>
          <w:szCs w:val="20"/>
          <w:b w:val="1"/>
          <w:bCs w:val="1"/>
          <w:color w:val="auto"/>
        </w:rPr>
        <w:t>Investors:</w:t>
      </w:r>
    </w:p>
    <w:p>
      <w:pPr>
        <w:spacing w:after="0"/>
        <w:rPr>
          <w:sz w:val="20"/>
          <w:szCs w:val="20"/>
          <w:color w:val="auto"/>
        </w:rPr>
      </w:pPr>
      <w:r>
        <w:rPr>
          <w:rFonts w:ascii="Arial" w:cs="Arial" w:eastAsia="Arial" w:hAnsi="Arial"/>
          <w:sz w:val="20"/>
          <w:szCs w:val="20"/>
          <w:color w:val="auto"/>
        </w:rPr>
        <w:t>Michael Tung, M.D.</w:t>
      </w:r>
    </w:p>
    <w:p>
      <w:pPr>
        <w:spacing w:after="0"/>
        <w:rPr>
          <w:sz w:val="20"/>
          <w:szCs w:val="20"/>
          <w:color w:val="auto"/>
        </w:rPr>
      </w:pPr>
      <w:r>
        <w:rPr>
          <w:rFonts w:ascii="Arial" w:cs="Arial" w:eastAsia="Arial" w:hAnsi="Arial"/>
          <w:sz w:val="20"/>
          <w:szCs w:val="20"/>
          <w:color w:val="auto"/>
        </w:rPr>
        <w:t>Corporate Strategy / Investor Relations</w:t>
      </w:r>
    </w:p>
    <w:p>
      <w:pPr>
        <w:spacing w:after="0"/>
        <w:rPr>
          <w:sz w:val="20"/>
          <w:szCs w:val="20"/>
          <w:color w:val="auto"/>
        </w:rPr>
      </w:pPr>
      <w:r>
        <w:rPr>
          <w:rFonts w:ascii="Arial" w:cs="Arial" w:eastAsia="Arial" w:hAnsi="Arial"/>
          <w:sz w:val="20"/>
          <w:szCs w:val="20"/>
          <w:color w:val="auto"/>
        </w:rPr>
        <w:t>415.978.1434</w:t>
      </w:r>
    </w:p>
    <w:p>
      <w:pPr>
        <w:spacing w:after="0"/>
        <w:rPr>
          <w:sz w:val="20"/>
          <w:szCs w:val="20"/>
          <w:color w:val="auto"/>
        </w:rPr>
      </w:pPr>
      <w:r>
        <w:rPr>
          <w:rFonts w:ascii="Arial" w:cs="Arial" w:eastAsia="Arial" w:hAnsi="Arial"/>
          <w:sz w:val="20"/>
          <w:szCs w:val="20"/>
          <w:color w:val="auto"/>
        </w:rPr>
        <w:t>mtung@fibrogen.com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GCI Health</w:t>
      </w:r>
    </w:p>
    <w:p>
      <w:pPr>
        <w:spacing w:after="0"/>
        <w:rPr>
          <w:sz w:val="20"/>
          <w:szCs w:val="20"/>
          <w:color w:val="auto"/>
        </w:rPr>
      </w:pPr>
      <w:r>
        <w:rPr>
          <w:rFonts w:ascii="Arial" w:cs="Arial" w:eastAsia="Arial" w:hAnsi="Arial"/>
          <w:sz w:val="20"/>
          <w:szCs w:val="20"/>
          <w:color w:val="auto"/>
        </w:rPr>
        <w:t>FibroGenMedia@gcihealth.com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Eluminex Biosciences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Investors/Media:</w:t>
      </w:r>
    </w:p>
    <w:p>
      <w:pPr>
        <w:spacing w:after="0"/>
        <w:rPr>
          <w:sz w:val="20"/>
          <w:szCs w:val="20"/>
          <w:color w:val="auto"/>
        </w:rPr>
      </w:pPr>
      <w:r>
        <w:rPr>
          <w:rFonts w:ascii="Arial" w:cs="Arial" w:eastAsia="Arial" w:hAnsi="Arial"/>
          <w:sz w:val="20"/>
          <w:szCs w:val="20"/>
          <w:color w:val="auto"/>
        </w:rPr>
        <w:t>Zhenze John Hu, Ph.D., MPD</w:t>
      </w:r>
    </w:p>
    <w:p>
      <w:pPr>
        <w:spacing w:after="0"/>
        <w:rPr>
          <w:sz w:val="20"/>
          <w:szCs w:val="20"/>
          <w:color w:val="auto"/>
        </w:rPr>
      </w:pPr>
      <w:r>
        <w:rPr>
          <w:rFonts w:ascii="Arial" w:cs="Arial" w:eastAsia="Arial" w:hAnsi="Arial"/>
          <w:sz w:val="20"/>
          <w:szCs w:val="20"/>
          <w:color w:val="auto"/>
        </w:rPr>
        <w:t>Business Development</w:t>
      </w:r>
    </w:p>
    <w:p>
      <w:pPr>
        <w:spacing w:after="0"/>
        <w:rPr>
          <w:sz w:val="20"/>
          <w:szCs w:val="20"/>
          <w:color w:val="auto"/>
        </w:rPr>
      </w:pPr>
      <w:r>
        <w:rPr>
          <w:rFonts w:ascii="Arial" w:cs="Arial" w:eastAsia="Arial" w:hAnsi="Arial"/>
          <w:sz w:val="20"/>
          <w:szCs w:val="20"/>
          <w:color w:val="auto"/>
        </w:rPr>
        <w:t>John.hu@eluminexbio.com</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43</w:t>
      </w:r>
    </w:p>
    <w:p>
      <w:pPr>
        <w:spacing w:after="0" w:line="18" w:lineRule="exact"/>
        <w:rPr>
          <w:sz w:val="20"/>
          <w:szCs w:val="20"/>
          <w:color w:val="auto"/>
        </w:rPr>
      </w:pPr>
    </w:p>
    <w:p>
      <w:pPr>
        <w:ind w:right="20" w:firstLine="8"/>
        <w:spacing w:after="0" w:line="258" w:lineRule="auto"/>
        <w:tabs>
          <w:tab w:leader="none" w:pos="26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would likely cause competitive harm to the company if publicly disclosed.</w:t>
      </w:r>
    </w:p>
    <w:p>
      <w:pPr>
        <w:sectPr>
          <w:pgSz w:w="11900" w:h="16838" w:orient="portrait"/>
          <w:cols w:equalWidth="0" w:num="1">
            <w:col w:w="11240"/>
          </w:cols>
          <w:pgMar w:left="320" w:top="765" w:right="339" w:bottom="1440" w:gutter="0" w:footer="0" w:header="0"/>
        </w:sectPr>
      </w:pPr>
    </w:p>
    <w:bookmarkStart w:id="134" w:name="page135"/>
    <w:bookmarkEnd w:id="134"/>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45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7132320" cy="10458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Exhibit 10.2</w:t>
      </w:r>
    </w:p>
    <w:p>
      <w:pPr>
        <w:ind w:left="40"/>
        <w:spacing w:after="0"/>
        <w:rPr>
          <w:sz w:val="20"/>
          <w:szCs w:val="20"/>
          <w:color w:val="auto"/>
        </w:rPr>
      </w:pPr>
      <w:r>
        <w:rPr>
          <w:rFonts w:ascii="Arial" w:cs="Arial" w:eastAsia="Arial" w:hAnsi="Arial"/>
          <w:sz w:val="18"/>
          <w:szCs w:val="18"/>
          <w:color w:val="auto"/>
        </w:rPr>
        <w:t>July 27, 2021</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Prepared For: </w:t>
      </w:r>
      <w:r>
        <w:rPr>
          <w:rFonts w:ascii="Arial" w:cs="Arial" w:eastAsia="Arial" w:hAnsi="Arial"/>
          <w:sz w:val="21"/>
          <w:szCs w:val="21"/>
          <w:b w:val="1"/>
          <w:bCs w:val="1"/>
          <w:color w:val="auto"/>
        </w:rPr>
        <w:t>Juan Graham</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Dear Juan,</w:t>
      </w:r>
    </w:p>
    <w:p>
      <w:pPr>
        <w:spacing w:after="0" w:line="212"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FibroGen, Inc. is pleased to offer you the position of Chief Financial Officer reporting to me. The commencement date of your employment (the "</w:t>
      </w:r>
      <w:r>
        <w:rPr>
          <w:rFonts w:ascii="Arial" w:cs="Arial" w:eastAsia="Arial" w:hAnsi="Arial"/>
          <w:sz w:val="18"/>
          <w:szCs w:val="18"/>
          <w:b w:val="1"/>
          <w:bCs w:val="1"/>
          <w:color w:val="auto"/>
        </w:rPr>
        <w:t>Effective Date</w:t>
      </w:r>
      <w:r>
        <w:rPr>
          <w:rFonts w:ascii="Arial" w:cs="Arial" w:eastAsia="Arial" w:hAnsi="Arial"/>
          <w:sz w:val="18"/>
          <w:szCs w:val="18"/>
          <w:color w:val="auto"/>
        </w:rPr>
        <w:t>") will be set, as mutually agreed upon in advance with FibroGen, Inc. (“</w:t>
      </w:r>
      <w:r>
        <w:rPr>
          <w:rFonts w:ascii="Arial" w:cs="Arial" w:eastAsia="Arial" w:hAnsi="Arial"/>
          <w:sz w:val="18"/>
          <w:szCs w:val="18"/>
          <w:b w:val="1"/>
          <w:bCs w:val="1"/>
          <w:color w:val="auto"/>
        </w:rPr>
        <w:t>FibroGen</w:t>
      </w:r>
      <w:r>
        <w:rPr>
          <w:rFonts w:ascii="Arial" w:cs="Arial" w:eastAsia="Arial" w:hAnsi="Arial"/>
          <w:sz w:val="18"/>
          <w:szCs w:val="18"/>
          <w:color w:val="auto"/>
        </w:rPr>
        <w:t>”) and confirmed with Human Resources according to the terms of this offer.</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offer of employment is made contingent upon successful completion and approval by the Company’s Board of Directors of FibroGen’s background check and upon completion of all required documentation that will be made available to you as of the Effective Date. This includes verification of the information to the Company in the employment application process. If necessary, you will be contacted to resolve any discrepancies in the verification of information. The Effective Date will be determined after the completion of the background check process and your signed acceptance of this offer.</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terms of this offer of employment are as follows:</w:t>
      </w:r>
    </w:p>
    <w:p>
      <w:pPr>
        <w:spacing w:after="0" w:line="198" w:lineRule="exact"/>
        <w:rPr>
          <w:sz w:val="20"/>
          <w:szCs w:val="20"/>
          <w:color w:val="auto"/>
        </w:rPr>
      </w:pPr>
    </w:p>
    <w:p>
      <w:pPr>
        <w:jc w:val="both"/>
        <w:ind w:left="440" w:right="20" w:hanging="432"/>
        <w:spacing w:after="0" w:line="215" w:lineRule="auto"/>
        <w:tabs>
          <w:tab w:leader="none" w:pos="440" w:val="left"/>
        </w:tabs>
        <w:numPr>
          <w:ilvl w:val="0"/>
          <w:numId w:val="138"/>
        </w:numPr>
        <w:rPr>
          <w:rFonts w:ascii="Arial" w:cs="Arial" w:eastAsia="Arial" w:hAnsi="Arial"/>
          <w:sz w:val="18"/>
          <w:szCs w:val="18"/>
          <w:color w:val="282828"/>
        </w:rPr>
      </w:pPr>
      <w:r>
        <w:rPr>
          <w:rFonts w:ascii="Arial" w:cs="Arial" w:eastAsia="Arial" w:hAnsi="Arial"/>
          <w:sz w:val="18"/>
          <w:szCs w:val="18"/>
          <w:u w:val="single" w:color="auto"/>
          <w:color w:val="auto"/>
        </w:rPr>
        <w:t>Compensation</w:t>
      </w:r>
      <w:r>
        <w:rPr>
          <w:rFonts w:ascii="Arial" w:cs="Arial" w:eastAsia="Arial" w:hAnsi="Arial"/>
          <w:sz w:val="18"/>
          <w:szCs w:val="18"/>
          <w:color w:val="auto"/>
        </w:rPr>
        <w:t>. FibroGen will pay you a starting annual salary of $470,000, payable in semi-monthly installments on our regular paydays in accordance with FibroGen's standard payroll policies. Your salary will begin as of the Effective Date. The position is classified as exempt and therefore not eligible for overtime pay. The first and last payment by FibroGen to you will be adjusted, if necessary, to reflect a commencement or termination date other than the first or last working day of a pay period.</w:t>
      </w:r>
    </w:p>
    <w:p>
      <w:pPr>
        <w:spacing w:after="0" w:line="149" w:lineRule="exact"/>
        <w:rPr>
          <w:rFonts w:ascii="Arial" w:cs="Arial" w:eastAsia="Arial" w:hAnsi="Arial"/>
          <w:sz w:val="18"/>
          <w:szCs w:val="18"/>
          <w:color w:val="282828"/>
        </w:rPr>
      </w:pPr>
    </w:p>
    <w:p>
      <w:pPr>
        <w:jc w:val="both"/>
        <w:ind w:left="440" w:hanging="432"/>
        <w:spacing w:after="0" w:line="234" w:lineRule="auto"/>
        <w:tabs>
          <w:tab w:leader="none" w:pos="440" w:val="left"/>
        </w:tabs>
        <w:numPr>
          <w:ilvl w:val="0"/>
          <w:numId w:val="138"/>
        </w:numPr>
        <w:rPr>
          <w:rFonts w:ascii="Arial" w:cs="Arial" w:eastAsia="Arial" w:hAnsi="Arial"/>
          <w:sz w:val="18"/>
          <w:szCs w:val="18"/>
          <w:color w:val="282828"/>
        </w:rPr>
      </w:pPr>
      <w:r>
        <w:rPr>
          <w:rFonts w:ascii="Arial" w:cs="Arial" w:eastAsia="Arial" w:hAnsi="Arial"/>
          <w:sz w:val="18"/>
          <w:szCs w:val="18"/>
          <w:u w:val="single" w:color="auto"/>
          <w:color w:val="auto"/>
        </w:rPr>
        <w:t>Stock Options and Restricted Stock Units</w:t>
      </w:r>
      <w:r>
        <w:rPr>
          <w:rFonts w:ascii="Arial" w:cs="Arial" w:eastAsia="Arial" w:hAnsi="Arial"/>
          <w:sz w:val="18"/>
          <w:szCs w:val="18"/>
          <w:color w:val="auto"/>
        </w:rPr>
        <w:t>. Subject to Compensation Committee approval, you will be granted the following equity incentive award(s) (the “Awards”) pursuant to the terms and conditions of the FibroGen equity incentive plan, as may be amended or modified from time to time (the “</w:t>
      </w:r>
      <w:r>
        <w:rPr>
          <w:rFonts w:ascii="Arial" w:cs="Arial" w:eastAsia="Arial" w:hAnsi="Arial"/>
          <w:sz w:val="18"/>
          <w:szCs w:val="18"/>
          <w:b w:val="1"/>
          <w:bCs w:val="1"/>
          <w:color w:val="auto"/>
        </w:rPr>
        <w:t>Equity Plan</w:t>
      </w:r>
      <w:r>
        <w:rPr>
          <w:rFonts w:ascii="Arial" w:cs="Arial" w:eastAsia="Arial" w:hAnsi="Arial"/>
          <w:sz w:val="18"/>
          <w:szCs w:val="18"/>
          <w:color w:val="auto"/>
        </w:rPr>
        <w:t>”):</w:t>
      </w:r>
    </w:p>
    <w:p>
      <w:pPr>
        <w:spacing w:after="0" w:line="2" w:lineRule="exact"/>
        <w:rPr>
          <w:rFonts w:ascii="Arial" w:cs="Arial" w:eastAsia="Arial" w:hAnsi="Arial"/>
          <w:sz w:val="18"/>
          <w:szCs w:val="18"/>
          <w:color w:val="282828"/>
        </w:rPr>
      </w:pPr>
    </w:p>
    <w:p>
      <w:pPr>
        <w:ind w:left="1500" w:hanging="439"/>
        <w:spacing w:after="0" w:line="246" w:lineRule="auto"/>
        <w:tabs>
          <w:tab w:leader="none" w:pos="15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stock option to purchase 196,000 shares of FibroGen's Common Stock with an exercise price set at the fair market value on the date of grant (“</w:t>
      </w:r>
      <w:r>
        <w:rPr>
          <w:rFonts w:ascii="Arial" w:cs="Arial" w:eastAsia="Arial" w:hAnsi="Arial"/>
          <w:sz w:val="18"/>
          <w:szCs w:val="18"/>
          <w:b w:val="1"/>
          <w:bCs w:val="1"/>
          <w:color w:val="auto"/>
        </w:rPr>
        <w:t>Stock Options</w:t>
      </w:r>
      <w:r>
        <w:rPr>
          <w:rFonts w:ascii="Arial" w:cs="Arial" w:eastAsia="Arial" w:hAnsi="Arial"/>
          <w:sz w:val="18"/>
          <w:szCs w:val="18"/>
          <w:color w:val="auto"/>
        </w:rPr>
        <w:t>”); and</w:t>
      </w:r>
    </w:p>
    <w:p>
      <w:pPr>
        <w:spacing w:after="0" w:line="174" w:lineRule="exact"/>
        <w:rPr>
          <w:rFonts w:ascii="Arial" w:cs="Arial" w:eastAsia="Arial" w:hAnsi="Arial"/>
          <w:sz w:val="18"/>
          <w:szCs w:val="18"/>
          <w:color w:val="auto"/>
        </w:rPr>
      </w:pPr>
    </w:p>
    <w:p>
      <w:pPr>
        <w:ind w:left="1500" w:hanging="439"/>
        <w:spacing w:after="0"/>
        <w:tabs>
          <w:tab w:leader="none" w:pos="15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grant of 35,000 restricted stock units relating to shares of FibroGen’s Common Stock (“</w:t>
      </w:r>
      <w:r>
        <w:rPr>
          <w:rFonts w:ascii="Arial" w:cs="Arial" w:eastAsia="Arial" w:hAnsi="Arial"/>
          <w:sz w:val="18"/>
          <w:szCs w:val="18"/>
          <w:b w:val="1"/>
          <w:bCs w:val="1"/>
          <w:color w:val="auto"/>
        </w:rPr>
        <w:t>RSUs</w:t>
      </w:r>
      <w:r>
        <w:rPr>
          <w:rFonts w:ascii="Arial" w:cs="Arial" w:eastAsia="Arial" w:hAnsi="Arial"/>
          <w:sz w:val="18"/>
          <w:szCs w:val="18"/>
          <w:color w:val="auto"/>
        </w:rPr>
        <w:t>”).</w:t>
      </w:r>
    </w:p>
    <w:p>
      <w:pPr>
        <w:spacing w:after="0" w:line="261" w:lineRule="exact"/>
        <w:rPr>
          <w:sz w:val="20"/>
          <w:szCs w:val="20"/>
          <w:color w:val="auto"/>
        </w:rPr>
      </w:pPr>
    </w:p>
    <w:p>
      <w:pPr>
        <w:jc w:val="both"/>
        <w:ind w:left="440"/>
        <w:spacing w:after="0" w:line="238" w:lineRule="auto"/>
        <w:rPr>
          <w:sz w:val="20"/>
          <w:szCs w:val="20"/>
          <w:color w:val="auto"/>
        </w:rPr>
      </w:pPr>
      <w:r>
        <w:rPr>
          <w:rFonts w:ascii="Arial" w:cs="Arial" w:eastAsia="Arial" w:hAnsi="Arial"/>
          <w:sz w:val="18"/>
          <w:szCs w:val="18"/>
          <w:color w:val="auto"/>
        </w:rPr>
        <w:t>The actual number of shares subject to the Awards offered hereunder may be adjusted, if required, to account for events such as stock splits, stock dividends, etc. pursuant to a Capitalization Adjustment under the terms of Equity Plan. The Stock Options and RSUs will vest according to the Company’s standard vesting schedule set forth in the agreements representing your Awards, which is: one quarter of the equity subject to the Award vests on the first anniversary of the vesting commencement date, the balance of the equity vests in a series of twelve successive substantially equal quarterly installments,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6978015" cy="4972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6978015" cy="4972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ind w:left="432" w:hanging="432"/>
        <w:spacing w:after="0" w:line="267" w:lineRule="auto"/>
        <w:tabs>
          <w:tab w:leader="none" w:pos="432" w:val="left"/>
        </w:tabs>
        <w:numPr>
          <w:ilvl w:val="0"/>
          <w:numId w:val="139"/>
        </w:numPr>
        <w:rPr>
          <w:rFonts w:ascii="Arial" w:cs="Arial" w:eastAsia="Arial" w:hAnsi="Arial"/>
          <w:sz w:val="18"/>
          <w:szCs w:val="18"/>
          <w:color w:val="282828"/>
        </w:rPr>
      </w:pPr>
      <w:r>
        <w:rPr>
          <w:rFonts w:ascii="Arial" w:cs="Arial" w:eastAsia="Arial" w:hAnsi="Arial"/>
          <w:sz w:val="18"/>
          <w:szCs w:val="18"/>
          <w:u w:val="single" w:color="auto"/>
          <w:color w:val="auto"/>
        </w:rPr>
        <w:t>Signing Bonus</w:t>
      </w:r>
      <w:r>
        <w:rPr>
          <w:rFonts w:ascii="Arial" w:cs="Arial" w:eastAsia="Arial" w:hAnsi="Arial"/>
          <w:sz w:val="18"/>
          <w:szCs w:val="18"/>
          <w:i w:val="1"/>
          <w:iCs w:val="1"/>
          <w:color w:val="auto"/>
        </w:rPr>
        <w:t>.</w:t>
      </w:r>
      <w:r>
        <w:rPr>
          <w:rFonts w:ascii="Arial" w:cs="Arial" w:eastAsia="Arial" w:hAnsi="Arial"/>
          <w:sz w:val="18"/>
          <w:szCs w:val="18"/>
          <w:color w:val="auto"/>
        </w:rPr>
        <w:t xml:space="preserve"> FibroGen will pay you a sign-on bonus in the amount of $300,000 (subject to applicable payroll taxes and withholdings) to be payable, contingent up on your continued employment with the Company, in three installments as follows:</w:t>
      </w:r>
    </w:p>
    <w:p>
      <w:pPr>
        <w:spacing w:after="0" w:line="178" w:lineRule="exact"/>
        <w:rPr>
          <w:rFonts w:ascii="Arial" w:cs="Arial" w:eastAsia="Arial" w:hAnsi="Arial"/>
          <w:sz w:val="18"/>
          <w:szCs w:val="18"/>
          <w:color w:val="282828"/>
        </w:rPr>
      </w:pPr>
    </w:p>
    <w:p>
      <w:pPr>
        <w:ind w:left="1492" w:hanging="439"/>
        <w:spacing w:after="0"/>
        <w:tabs>
          <w:tab w:leader="none" w:pos="149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$150,000 within thirty (30) days following the Effective Date</w:t>
      </w:r>
    </w:p>
    <w:p>
      <w:pPr>
        <w:spacing w:after="0" w:line="22" w:lineRule="exact"/>
        <w:rPr>
          <w:rFonts w:ascii="Arial" w:cs="Arial" w:eastAsia="Arial" w:hAnsi="Arial"/>
          <w:sz w:val="18"/>
          <w:szCs w:val="18"/>
          <w:color w:val="auto"/>
        </w:rPr>
      </w:pPr>
    </w:p>
    <w:p>
      <w:pPr>
        <w:ind w:left="1492" w:hanging="439"/>
        <w:spacing w:after="0"/>
        <w:tabs>
          <w:tab w:leader="none" w:pos="149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$75,000 on March 15, 2022</w:t>
      </w:r>
    </w:p>
    <w:p>
      <w:pPr>
        <w:spacing w:after="0" w:line="22" w:lineRule="exact"/>
        <w:rPr>
          <w:rFonts w:ascii="Arial" w:cs="Arial" w:eastAsia="Arial" w:hAnsi="Arial"/>
          <w:sz w:val="18"/>
          <w:szCs w:val="18"/>
          <w:color w:val="auto"/>
        </w:rPr>
      </w:pPr>
    </w:p>
    <w:p>
      <w:pPr>
        <w:ind w:left="1492" w:hanging="439"/>
        <w:spacing w:after="0"/>
        <w:tabs>
          <w:tab w:leader="none" w:pos="149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$75,000 one year after the Effective Date</w:t>
      </w:r>
    </w:p>
    <w:p>
      <w:pPr>
        <w:spacing w:after="0" w:line="216" w:lineRule="exact"/>
        <w:rPr>
          <w:rFonts w:ascii="Arial" w:cs="Arial" w:eastAsia="Arial" w:hAnsi="Arial"/>
          <w:sz w:val="18"/>
          <w:szCs w:val="18"/>
          <w:color w:val="auto"/>
        </w:rPr>
      </w:pPr>
    </w:p>
    <w:p>
      <w:pPr>
        <w:ind w:left="432" w:right="140" w:hanging="432"/>
        <w:spacing w:after="0" w:line="271" w:lineRule="auto"/>
        <w:tabs>
          <w:tab w:leader="none" w:pos="432" w:val="left"/>
        </w:tabs>
        <w:numPr>
          <w:ilvl w:val="0"/>
          <w:numId w:val="139"/>
        </w:numPr>
        <w:rPr>
          <w:rFonts w:ascii="Arial" w:cs="Arial" w:eastAsia="Arial" w:hAnsi="Arial"/>
          <w:sz w:val="18"/>
          <w:szCs w:val="18"/>
          <w:color w:val="282828"/>
        </w:rPr>
      </w:pPr>
      <w:r>
        <w:rPr>
          <w:rFonts w:ascii="Arial" w:cs="Arial" w:eastAsia="Arial" w:hAnsi="Arial"/>
          <w:sz w:val="18"/>
          <w:szCs w:val="18"/>
          <w:u w:val="single" w:color="auto"/>
          <w:color w:val="auto"/>
        </w:rPr>
        <w:t>Bonus Plan</w:t>
      </w:r>
      <w:r>
        <w:rPr>
          <w:rFonts w:ascii="Arial" w:cs="Arial" w:eastAsia="Arial" w:hAnsi="Arial"/>
          <w:sz w:val="18"/>
          <w:szCs w:val="18"/>
          <w:color w:val="auto"/>
        </w:rPr>
        <w:t>. You will be eligible to participate in FibroGen’s Incentive Compensation Plan (the “</w:t>
      </w:r>
      <w:r>
        <w:rPr>
          <w:rFonts w:ascii="Arial" w:cs="Arial" w:eastAsia="Arial" w:hAnsi="Arial"/>
          <w:sz w:val="18"/>
          <w:szCs w:val="18"/>
          <w:b w:val="1"/>
          <w:bCs w:val="1"/>
          <w:color w:val="auto"/>
        </w:rPr>
        <w:t>Bonus Plan</w:t>
      </w:r>
      <w:r>
        <w:rPr>
          <w:rFonts w:ascii="Arial" w:cs="Arial" w:eastAsia="Arial" w:hAnsi="Arial"/>
          <w:sz w:val="18"/>
          <w:szCs w:val="18"/>
          <w:color w:val="auto"/>
        </w:rPr>
        <w:t>”) adopted by FibroGen for its employees on such terms as FibroGen's Board of Directors (the "Board") may determine in its discretion.</w:t>
      </w:r>
    </w:p>
    <w:p>
      <w:pPr>
        <w:spacing w:after="0" w:line="175" w:lineRule="exact"/>
        <w:rPr>
          <w:rFonts w:ascii="Arial" w:cs="Arial" w:eastAsia="Arial" w:hAnsi="Arial"/>
          <w:sz w:val="18"/>
          <w:szCs w:val="18"/>
          <w:color w:val="282828"/>
        </w:rPr>
      </w:pPr>
    </w:p>
    <w:p>
      <w:pPr>
        <w:jc w:val="both"/>
        <w:ind w:left="432"/>
        <w:spacing w:after="0" w:line="237" w:lineRule="auto"/>
        <w:rPr>
          <w:rFonts w:ascii="Arial" w:cs="Arial" w:eastAsia="Arial" w:hAnsi="Arial"/>
          <w:sz w:val="18"/>
          <w:szCs w:val="18"/>
          <w:color w:val="282828"/>
        </w:rPr>
      </w:pPr>
      <w:r>
        <w:rPr>
          <w:rFonts w:ascii="Arial" w:cs="Arial" w:eastAsia="Arial" w:hAnsi="Arial"/>
          <w:sz w:val="18"/>
          <w:szCs w:val="18"/>
          <w:color w:val="auto"/>
        </w:rPr>
        <w:t>The target bonus for your level will be 50%. Under the terms of the Plan, both corporate and individual performance is assessed annually and subject to final approval by the Company’s Board of Directors. To be eligible for a bonus employees must commence their employment on or before September 30th of a calendar year, and any bonus payable to employees hired during the course of a year will be pro-rated for the amount of service during the calendar year. To remain eligible, employees must meet the requirements of the bonus plan, including maintaining satisfactory performance and being in an active status on the day of payment. Payments are expected to occur no later than the 15th of March in the year following the performance cycle.</w:t>
      </w:r>
    </w:p>
    <w:p>
      <w:pPr>
        <w:spacing w:after="0" w:line="204" w:lineRule="exact"/>
        <w:rPr>
          <w:rFonts w:ascii="Arial" w:cs="Arial" w:eastAsia="Arial" w:hAnsi="Arial"/>
          <w:sz w:val="18"/>
          <w:szCs w:val="18"/>
          <w:color w:val="282828"/>
        </w:rPr>
      </w:pPr>
    </w:p>
    <w:p>
      <w:pPr>
        <w:jc w:val="both"/>
        <w:ind w:left="432" w:hanging="432"/>
        <w:spacing w:after="0" w:line="238" w:lineRule="auto"/>
        <w:tabs>
          <w:tab w:leader="none" w:pos="432" w:val="left"/>
        </w:tabs>
        <w:numPr>
          <w:ilvl w:val="0"/>
          <w:numId w:val="139"/>
        </w:numPr>
        <w:rPr>
          <w:rFonts w:ascii="Arial" w:cs="Arial" w:eastAsia="Arial" w:hAnsi="Arial"/>
          <w:sz w:val="18"/>
          <w:szCs w:val="18"/>
          <w:color w:val="282828"/>
        </w:rPr>
      </w:pPr>
      <w:r>
        <w:rPr>
          <w:rFonts w:ascii="Arial" w:cs="Arial" w:eastAsia="Arial" w:hAnsi="Arial"/>
          <w:sz w:val="18"/>
          <w:szCs w:val="18"/>
          <w:u w:val="single" w:color="auto"/>
          <w:color w:val="auto"/>
        </w:rPr>
        <w:t>Relocation</w:t>
      </w:r>
      <w:r>
        <w:rPr>
          <w:rFonts w:ascii="Arial" w:cs="Arial" w:eastAsia="Arial" w:hAnsi="Arial"/>
          <w:sz w:val="18"/>
          <w:szCs w:val="18"/>
          <w:color w:val="auto"/>
        </w:rPr>
        <w:t>. FibroGen will offer you relocation assistance of up to $100,000 (subject to applicable payroll taxes and withholdings and then grossed-up) with the services being provided to you via our third-party vendor NuCompass. If you do not remain employed with the Company for at least ninety (90) days following your relocation, you will be obligated to reimburse the Company for your relocation assistance.</w:t>
      </w:r>
    </w:p>
    <w:p>
      <w:pPr>
        <w:spacing w:after="0" w:line="204" w:lineRule="exact"/>
        <w:rPr>
          <w:rFonts w:ascii="Arial" w:cs="Arial" w:eastAsia="Arial" w:hAnsi="Arial"/>
          <w:sz w:val="18"/>
          <w:szCs w:val="18"/>
          <w:color w:val="282828"/>
        </w:rPr>
      </w:pPr>
    </w:p>
    <w:p>
      <w:pPr>
        <w:jc w:val="both"/>
        <w:ind w:left="432" w:hanging="432"/>
        <w:spacing w:after="0"/>
        <w:tabs>
          <w:tab w:leader="none" w:pos="432" w:val="left"/>
        </w:tabs>
        <w:numPr>
          <w:ilvl w:val="0"/>
          <w:numId w:val="139"/>
        </w:numPr>
        <w:rPr>
          <w:rFonts w:ascii="Arial" w:cs="Arial" w:eastAsia="Arial" w:hAnsi="Arial"/>
          <w:sz w:val="18"/>
          <w:szCs w:val="18"/>
          <w:color w:val="282828"/>
        </w:rPr>
      </w:pPr>
      <w:r>
        <w:rPr>
          <w:rFonts w:ascii="Arial" w:cs="Arial" w:eastAsia="Arial" w:hAnsi="Arial"/>
          <w:sz w:val="18"/>
          <w:szCs w:val="18"/>
          <w:u w:val="single" w:color="auto"/>
          <w:color w:val="auto"/>
        </w:rPr>
        <w:t>Change in Control and Severance Agreement</w:t>
      </w:r>
      <w:r>
        <w:rPr>
          <w:rFonts w:ascii="Arial" w:cs="Arial" w:eastAsia="Arial" w:hAnsi="Arial"/>
          <w:sz w:val="18"/>
          <w:szCs w:val="18"/>
          <w:color w:val="auto"/>
        </w:rPr>
        <w:t>. You will be eligible to enter into the form of Company’s Change in Control and Severance Agreement approved by the Board that provides for certain severance benefits upon a termination following a Change in Control (as defined therein) and upon certain other terminations.</w:t>
      </w:r>
    </w:p>
    <w:p>
      <w:pPr>
        <w:spacing w:after="0" w:line="202" w:lineRule="exact"/>
        <w:rPr>
          <w:rFonts w:ascii="Arial" w:cs="Arial" w:eastAsia="Arial" w:hAnsi="Arial"/>
          <w:sz w:val="18"/>
          <w:szCs w:val="18"/>
          <w:color w:val="282828"/>
        </w:rPr>
      </w:pPr>
    </w:p>
    <w:p>
      <w:pPr>
        <w:jc w:val="both"/>
        <w:ind w:left="432" w:hanging="432"/>
        <w:spacing w:after="0" w:line="238" w:lineRule="auto"/>
        <w:tabs>
          <w:tab w:leader="none" w:pos="432" w:val="left"/>
        </w:tabs>
        <w:numPr>
          <w:ilvl w:val="0"/>
          <w:numId w:val="139"/>
        </w:numPr>
        <w:rPr>
          <w:rFonts w:ascii="Arial" w:cs="Arial" w:eastAsia="Arial" w:hAnsi="Arial"/>
          <w:sz w:val="18"/>
          <w:szCs w:val="18"/>
          <w:color w:val="282828"/>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of your employment, you will be eligible to participate in FibroGen’s benefits program, which may include FibroGen's standard vacation benefits and other employee benefits such as medical, vision and dental health insurance, covering employees and officers. These benefits are subject to change and may be modified from time to time. A copy of FibroGen's current benefits summary has been provided to you.</w:t>
      </w:r>
    </w:p>
    <w:p>
      <w:pPr>
        <w:spacing w:after="0" w:line="204" w:lineRule="exact"/>
        <w:rPr>
          <w:rFonts w:ascii="Arial" w:cs="Arial" w:eastAsia="Arial" w:hAnsi="Arial"/>
          <w:sz w:val="18"/>
          <w:szCs w:val="18"/>
          <w:color w:val="282828"/>
        </w:rPr>
      </w:pPr>
    </w:p>
    <w:p>
      <w:pPr>
        <w:jc w:val="both"/>
        <w:ind w:left="432" w:hanging="432"/>
        <w:spacing w:after="0" w:line="238" w:lineRule="auto"/>
        <w:tabs>
          <w:tab w:leader="none" w:pos="432" w:val="left"/>
        </w:tabs>
        <w:numPr>
          <w:ilvl w:val="0"/>
          <w:numId w:val="139"/>
        </w:numPr>
        <w:rPr>
          <w:rFonts w:ascii="Arial" w:cs="Arial" w:eastAsia="Arial" w:hAnsi="Arial"/>
          <w:sz w:val="18"/>
          <w:szCs w:val="18"/>
          <w:color w:val="282828"/>
        </w:rPr>
      </w:pPr>
      <w:r>
        <w:rPr>
          <w:rFonts w:ascii="Arial" w:cs="Arial" w:eastAsia="Arial" w:hAnsi="Arial"/>
          <w:sz w:val="18"/>
          <w:szCs w:val="18"/>
          <w:u w:val="single" w:color="auto"/>
          <w:color w:val="auto"/>
        </w:rPr>
        <w:t>Employment Eligibility.</w:t>
      </w:r>
      <w:r>
        <w:rPr>
          <w:rFonts w:ascii="Arial" w:cs="Arial" w:eastAsia="Arial" w:hAnsi="Arial"/>
          <w:sz w:val="18"/>
          <w:szCs w:val="18"/>
          <w:color w:val="auto"/>
        </w:rPr>
        <w:t xml:space="preserve"> You will also be required to sign the Employment Eligibility Verification (Form I-9). (You will need to complete and return Section One of Form I-9 along with your signed offer letter). On your first day of employment, please bring the necessary original documents that establish your identity and employment eligibility to work in the United States. Acceptable documents are listed on the reverse side of Form I-9. Such documentation must be provided to us within three (3) business days of your date of hire, or our employment relationship with you may be terminated.</w:t>
      </w:r>
    </w:p>
    <w:p>
      <w:pPr>
        <w:spacing w:after="0" w:line="202" w:lineRule="exact"/>
        <w:rPr>
          <w:rFonts w:ascii="Arial" w:cs="Arial" w:eastAsia="Arial" w:hAnsi="Arial"/>
          <w:sz w:val="18"/>
          <w:szCs w:val="18"/>
          <w:color w:val="282828"/>
        </w:rPr>
      </w:pPr>
    </w:p>
    <w:p>
      <w:pPr>
        <w:jc w:val="both"/>
        <w:ind w:left="432" w:hanging="432"/>
        <w:spacing w:after="0" w:line="238" w:lineRule="auto"/>
        <w:tabs>
          <w:tab w:leader="none" w:pos="432" w:val="left"/>
        </w:tabs>
        <w:numPr>
          <w:ilvl w:val="0"/>
          <w:numId w:val="139"/>
        </w:numPr>
        <w:rPr>
          <w:rFonts w:ascii="Arial" w:cs="Arial" w:eastAsia="Arial" w:hAnsi="Arial"/>
          <w:sz w:val="18"/>
          <w:szCs w:val="18"/>
          <w:color w:val="282828"/>
        </w:rPr>
      </w:pPr>
      <w:r>
        <w:rPr>
          <w:rFonts w:ascii="Arial" w:cs="Arial" w:eastAsia="Arial" w:hAnsi="Arial"/>
          <w:sz w:val="18"/>
          <w:szCs w:val="18"/>
          <w:u w:val="single" w:color="auto"/>
          <w:color w:val="auto"/>
        </w:rPr>
        <w:t>Proprietary Information</w:t>
      </w:r>
      <w:r>
        <w:rPr>
          <w:rFonts w:ascii="Arial" w:cs="Arial" w:eastAsia="Arial" w:hAnsi="Arial"/>
          <w:sz w:val="18"/>
          <w:szCs w:val="18"/>
          <w:color w:val="auto"/>
        </w:rPr>
        <w:t>. You will abide by FibroGen’s strict company policy that prohibits any new employee from using or bringing with them from any prior employer any proprietary information, trade secrets, proprietary materials or processes of such former employers. Moreover, because FibroGen’s proprietary information is extremely important, this offer of employment is expressly subject to your execution of the enclosed Confidential Information, Secrecy and Invention Agreement for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607" w:right="339" w:bottom="1440" w:gutter="0" w:footer="0" w:header="0"/>
        </w:sectPr>
      </w:pPr>
    </w:p>
    <w:bookmarkStart w:id="136" w:name="page137"/>
    <w:bookmarkEnd w:id="136"/>
    <w:p>
      <w:pPr>
        <w:jc w:val="both"/>
        <w:ind w:left="440" w:hanging="432"/>
        <w:spacing w:after="0" w:line="237" w:lineRule="auto"/>
        <w:tabs>
          <w:tab w:leader="none" w:pos="440" w:val="left"/>
        </w:tabs>
        <w:numPr>
          <w:ilvl w:val="0"/>
          <w:numId w:val="140"/>
        </w:numPr>
        <w:rPr>
          <w:rFonts w:ascii="Arial" w:cs="Arial" w:eastAsia="Arial" w:hAnsi="Arial"/>
          <w:sz w:val="18"/>
          <w:szCs w:val="18"/>
          <w:color w:val="282828"/>
        </w:rPr>
      </w:pPr>
      <w:r>
        <w:rPr>
          <w:rFonts w:ascii="Arial" w:cs="Arial" w:eastAsia="Arial" w:hAnsi="Arial"/>
          <w:sz w:val="18"/>
          <w:szCs w:val="18"/>
          <w:u w:val="single" w:color="auto"/>
          <w:color w:val="auto"/>
        </w:rPr>
        <w:t>At Will Employment.</w:t>
      </w:r>
      <w:r>
        <w:rPr>
          <w:rFonts w:ascii="Arial" w:cs="Arial" w:eastAsia="Arial" w:hAnsi="Arial"/>
          <w:sz w:val="18"/>
          <w:szCs w:val="18"/>
          <w:color w:val="auto"/>
        </w:rPr>
        <w:t xml:space="preserve"> You should be aware that your employment with FibroGen is for no specified period and constitutes "at-will" employment. As a result, both FibroGen and you are free to terminate the employment relationship at any time, for any reason or for no reason, and with or without advance notice. The changing needs of FibroGen could also result in changes to certain aspects of your employment, such as compensation, responsibilities, location, etc. These provisions expressly supersede any previous representations, oral or written. Your at-will employment cannot be modified or amended except by written agreement signed by both you and the Chief Executive Officer of FibroGen.</w:t>
      </w:r>
    </w:p>
    <w:p>
      <w:pPr>
        <w:spacing w:after="0" w:line="204" w:lineRule="exact"/>
        <w:rPr>
          <w:rFonts w:ascii="Arial" w:cs="Arial" w:eastAsia="Arial" w:hAnsi="Arial"/>
          <w:sz w:val="18"/>
          <w:szCs w:val="18"/>
          <w:color w:val="282828"/>
        </w:rPr>
      </w:pPr>
    </w:p>
    <w:p>
      <w:pPr>
        <w:jc w:val="both"/>
        <w:ind w:left="440" w:hanging="432"/>
        <w:spacing w:after="0" w:line="234" w:lineRule="auto"/>
        <w:tabs>
          <w:tab w:leader="none" w:pos="440" w:val="left"/>
        </w:tabs>
        <w:numPr>
          <w:ilvl w:val="0"/>
          <w:numId w:val="140"/>
        </w:numPr>
        <w:rPr>
          <w:rFonts w:ascii="Arial" w:cs="Arial" w:eastAsia="Arial" w:hAnsi="Arial"/>
          <w:sz w:val="18"/>
          <w:szCs w:val="18"/>
          <w:b w:val="1"/>
          <w:bCs w:val="1"/>
          <w:color w:val="282828"/>
        </w:rPr>
      </w:pP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Any dispute or claim, including all contract, tort, discrimination, and statutory claims, arising under or relating to your employment or termination of your employment with FibroGen (“Arbitrable Claim(s)”) shall be resolved by arbitration. “Arbitrable Claims” shall not include: (1) claims under applicable workers’ compensation law, (2) unemployment insurance claims, and (3) any disputes or claims relating to or arising out of the misuse or misappropriation of trade secrets. You and FibroGen hereby waive any rights each may have to a jury trial in regard to Arbitrable Claims. Arbitration for Arbitrable Claims will be conducted by the American Arbitration Association (“AAA”) in San Francisco (or other mutually agreed upon city) under the Employment Arbitration Rules and</w:t>
      </w:r>
    </w:p>
    <w:p>
      <w:pPr>
        <w:spacing w:after="0" w:line="4" w:lineRule="exact"/>
        <w:rPr>
          <w:rFonts w:ascii="Arial" w:cs="Arial" w:eastAsia="Arial" w:hAnsi="Arial"/>
          <w:sz w:val="18"/>
          <w:szCs w:val="18"/>
          <w:b w:val="1"/>
          <w:bCs w:val="1"/>
          <w:color w:val="282828"/>
        </w:rPr>
      </w:pPr>
    </w:p>
    <w:p>
      <w:pPr>
        <w:jc w:val="both"/>
        <w:ind w:left="440"/>
        <w:spacing w:after="0" w:line="251" w:lineRule="auto"/>
        <w:rPr>
          <w:rFonts w:ascii="Arial" w:cs="Arial" w:eastAsia="Arial" w:hAnsi="Arial"/>
          <w:sz w:val="18"/>
          <w:szCs w:val="18"/>
          <w:b w:val="1"/>
          <w:bCs w:val="1"/>
          <w:color w:val="282828"/>
        </w:rPr>
      </w:pPr>
      <w:r>
        <w:rPr>
          <w:rFonts w:ascii="Arial" w:cs="Arial" w:eastAsia="Arial" w:hAnsi="Arial"/>
          <w:sz w:val="18"/>
          <w:szCs w:val="18"/>
          <w:color w:val="auto"/>
        </w:rPr>
        <w:t xml:space="preserve">Mediation Procedures (“AAA Rules”). The AAA Rules are available at </w:t>
      </w:r>
      <w:r>
        <w:rPr>
          <w:rFonts w:ascii="Arial" w:cs="Arial" w:eastAsia="Arial" w:hAnsi="Arial"/>
          <w:sz w:val="19"/>
          <w:szCs w:val="19"/>
          <w:u w:val="single" w:color="auto"/>
          <w:color w:val="282828"/>
        </w:rPr>
        <w:t>https://www.adr.org/sites/default/files/EmploymentRules_Web_0.pdf</w:t>
      </w:r>
      <w:r>
        <w:rPr>
          <w:rFonts w:ascii="Arial" w:cs="Arial" w:eastAsia="Arial" w:hAnsi="Arial"/>
          <w:sz w:val="17"/>
          <w:szCs w:val="17"/>
          <w:color w:val="000000"/>
        </w:rPr>
        <w:t>, or can be obtained by contacting the FibroGen Human</w:t>
      </w:r>
      <w:r>
        <w:rPr>
          <w:rFonts w:ascii="Arial" w:cs="Arial" w:eastAsia="Arial" w:hAnsi="Arial"/>
          <w:sz w:val="19"/>
          <w:szCs w:val="19"/>
          <w:color w:val="282828"/>
        </w:rPr>
        <w:t xml:space="preserve"> </w:t>
      </w:r>
      <w:r>
        <w:rPr>
          <w:rFonts w:ascii="Arial" w:cs="Arial" w:eastAsia="Arial" w:hAnsi="Arial"/>
          <w:sz w:val="17"/>
          <w:szCs w:val="17"/>
          <w:color w:val="000000"/>
        </w:rPr>
        <w:t>Resources department or by calling AAA at 800-778-7879. FibroGen will pay the fees and costs of the arbitrator. The arbitrator shall have the same authority as a court to award equitable relief, damages, costs, and fees (excluding the costs and fees for the arbitrator) as provided by law for the particular claims asserted. The arbitrator shall also have exclusive authority to rule on his or her own jurisdiction, including any objections with respect to the existence, scope, enforceability or validity of the arbitration agreement. Such arbitration shall be final and binding on the parties and shall be the exclusive remedy for Arbitrable Claims.</w:t>
      </w:r>
    </w:p>
    <w:p>
      <w:pPr>
        <w:spacing w:after="0" w:line="200" w:lineRule="exact"/>
        <w:rPr>
          <w:sz w:val="20"/>
          <w:szCs w:val="20"/>
          <w:color w:val="auto"/>
        </w:rPr>
      </w:pPr>
    </w:p>
    <w:p>
      <w:pPr>
        <w:spacing w:after="0" w:line="20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Unless otherwise notified by FibroGen, this offer of employment is effective for five business days from the date of this letter. However, if you have any questions regarding the above provisions including the arbitration provision, please do not hesitate to contact us.</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the event of conflict between the terms contained in this offer letter and any other document, the terms of this offer letter (including any amendment to this letter) shall control. FibroGen reserves the right to amend the terms contained in this offer letter from time to time.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your joining our team at FibroGen.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Enrique Conterno</w:t>
      </w:r>
    </w:p>
    <w:p>
      <w:pPr>
        <w:spacing w:after="0" w:line="234" w:lineRule="auto"/>
        <w:rPr>
          <w:sz w:val="20"/>
          <w:szCs w:val="20"/>
          <w:color w:val="auto"/>
        </w:rPr>
      </w:pPr>
      <w:r>
        <w:rPr>
          <w:rFonts w:ascii="Arial" w:cs="Arial" w:eastAsia="Arial" w:hAnsi="Arial"/>
          <w:sz w:val="18"/>
          <w:szCs w:val="18"/>
          <w:color w:val="auto"/>
        </w:rPr>
        <w:t>Enrique Conterno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37" w:name="page138"/>
    <w:bookmarkEnd w:id="137"/>
    <w:p>
      <w:pPr>
        <w:jc w:val="right"/>
        <w:ind w:right="6879"/>
        <w:spacing w:after="0"/>
        <w:rPr>
          <w:sz w:val="20"/>
          <w:szCs w:val="20"/>
          <w:color w:val="auto"/>
        </w:rPr>
      </w:pPr>
      <w:r>
        <w:rPr>
          <w:rFonts w:ascii="Arial" w:cs="Arial" w:eastAsia="Arial" w:hAnsi="Arial"/>
          <w:sz w:val="18"/>
          <w:szCs w:val="18"/>
          <w:color w:val="auto"/>
        </w:rPr>
        <w:t>ACCEPTED AND AGREED TO this</w:t>
      </w:r>
    </w:p>
    <w:p>
      <w:pPr>
        <w:spacing w:after="0" w:line="200" w:lineRule="exact"/>
        <w:rPr>
          <w:sz w:val="20"/>
          <w:szCs w:val="20"/>
          <w:color w:val="auto"/>
        </w:rPr>
      </w:pP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30 Day of July,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Juan Graham</w:t>
      </w:r>
    </w:p>
    <w:p>
      <w:pPr>
        <w:ind w:left="40"/>
        <w:spacing w:after="0"/>
        <w:rPr>
          <w:sz w:val="20"/>
          <w:szCs w:val="20"/>
          <w:color w:val="auto"/>
        </w:rPr>
      </w:pPr>
      <w:r>
        <w:rPr>
          <w:rFonts w:ascii="Arial" w:cs="Arial" w:eastAsia="Arial" w:hAnsi="Arial"/>
          <w:sz w:val="18"/>
          <w:szCs w:val="18"/>
          <w:color w:val="auto"/>
        </w:rPr>
        <w:t>Juan Graham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September 7, 2021</w:t>
      </w:r>
    </w:p>
    <w:p>
      <w:pPr>
        <w:ind w:left="420"/>
        <w:spacing w:after="0"/>
        <w:rPr>
          <w:sz w:val="20"/>
          <w:szCs w:val="20"/>
          <w:color w:val="auto"/>
        </w:rPr>
      </w:pPr>
      <w:r>
        <w:rPr>
          <w:rFonts w:ascii="Arial" w:cs="Arial" w:eastAsia="Arial" w:hAnsi="Arial"/>
          <w:sz w:val="18"/>
          <w:szCs w:val="18"/>
          <w:color w:val="auto"/>
        </w:rPr>
        <w:t>Intended Start Date</w:t>
      </w:r>
    </w:p>
    <w:p>
      <w:pPr>
        <w:sectPr>
          <w:pgSz w:w="11900" w:h="16838" w:orient="portrait"/>
          <w:cols w:equalWidth="0" w:num="1">
            <w:col w:w="10139"/>
          </w:cols>
          <w:pgMar w:left="320" w:top="6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Enclosures: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Benefits Overview</w:t>
      </w:r>
    </w:p>
    <w:p>
      <w:pPr>
        <w:spacing w:after="0"/>
        <w:rPr>
          <w:sz w:val="20"/>
          <w:szCs w:val="20"/>
          <w:color w:val="auto"/>
        </w:rPr>
      </w:pPr>
      <w:r>
        <w:rPr>
          <w:rFonts w:ascii="Arial" w:cs="Arial" w:eastAsia="Arial" w:hAnsi="Arial"/>
          <w:sz w:val="18"/>
          <w:szCs w:val="18"/>
          <w:color w:val="auto"/>
        </w:rPr>
        <w:t>Confidential Information, Secrecy and Invention Agreement for Employees</w:t>
      </w:r>
    </w:p>
    <w:p>
      <w:pPr>
        <w:sectPr>
          <w:pgSz w:w="11900" w:h="16838" w:orient="portrait"/>
          <w:cols w:equalWidth="0" w:num="2">
            <w:col w:w="940" w:space="580"/>
            <w:col w:w="8619"/>
          </w:cols>
          <w:pgMar w:left="320" w:top="625" w:right="1440" w:bottom="1440" w:gutter="0" w:footer="0" w:header="0"/>
          <w:type w:val="continuous"/>
        </w:sectPr>
      </w:pPr>
    </w:p>
    <w:bookmarkStart w:id="138" w:name="page139"/>
    <w:bookmarkEnd w:id="138"/>
    <w:p>
      <w:pPr>
        <w:jc w:val="right"/>
        <w:spacing w:after="0"/>
        <w:rPr>
          <w:sz w:val="20"/>
          <w:szCs w:val="20"/>
          <w:color w:val="auto"/>
        </w:rPr>
      </w:pPr>
      <w:r>
        <w:rPr>
          <w:rFonts w:ascii="Arial" w:cs="Arial" w:eastAsia="Arial" w:hAnsi="Arial"/>
          <w:sz w:val="22"/>
          <w:szCs w:val="22"/>
          <w:color w:val="auto"/>
        </w:rPr>
        <w:t>Exhibit 10.3</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August 14, 2021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Pat Cotroneo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Via E-mail</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Transition Agreement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Pat:</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letter sets forth the terms of the transition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which you and FibroGen,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have agreed in the context of your employment transition.</w:t>
      </w:r>
    </w:p>
    <w:p>
      <w:pPr>
        <w:spacing w:after="0" w:line="196" w:lineRule="exact"/>
        <w:rPr>
          <w:sz w:val="20"/>
          <w:szCs w:val="20"/>
          <w:color w:val="auto"/>
        </w:rPr>
      </w:pPr>
    </w:p>
    <w:p>
      <w:pPr>
        <w:jc w:val="both"/>
        <w:ind w:firstLine="872"/>
        <w:spacing w:after="0" w:line="271" w:lineRule="auto"/>
        <w:tabs>
          <w:tab w:leader="none" w:pos="1674" w:val="left"/>
        </w:tabs>
        <w:numPr>
          <w:ilvl w:val="0"/>
          <w:numId w:val="141"/>
        </w:numPr>
        <w:rPr>
          <w:rFonts w:ascii="Arial" w:cs="Arial" w:eastAsia="Arial" w:hAnsi="Arial"/>
          <w:sz w:val="20"/>
          <w:szCs w:val="20"/>
          <w:b w:val="1"/>
          <w:bCs w:val="1"/>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EPARATION</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ATE</w:t>
      </w:r>
      <w:r>
        <w:rPr>
          <w:rFonts w:ascii="Arial" w:cs="Arial" w:eastAsia="Arial" w:hAnsi="Arial"/>
          <w:sz w:val="20"/>
          <w:szCs w:val="20"/>
          <w:color w:val="auto"/>
        </w:rPr>
        <w:t>. Subject to the terms and conditions of this Agreement, your employment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will continue through March 31, 2022, which will become your employment termination date (the “</w:t>
      </w:r>
      <w:r>
        <w:rPr>
          <w:rFonts w:ascii="Arial" w:cs="Arial" w:eastAsia="Arial" w:hAnsi="Arial"/>
          <w:sz w:val="20"/>
          <w:szCs w:val="20"/>
          <w:b w:val="1"/>
          <w:bCs w:val="1"/>
          <w:i w:val="1"/>
          <w:iCs w:val="1"/>
          <w:color w:val="auto"/>
        </w:rPr>
        <w:t>Separation Date</w:t>
      </w:r>
      <w:r>
        <w:rPr>
          <w:rFonts w:ascii="Arial" w:cs="Arial" w:eastAsia="Arial" w:hAnsi="Arial"/>
          <w:sz w:val="20"/>
          <w:szCs w:val="20"/>
          <w:color w:val="auto"/>
        </w:rPr>
        <w:t>”), unless your employment terminates sooner pursuant to Paragraph 2(c) below. If termination occurs earlier or later than March 31, 2022, the actual date of termination shall become the “</w:t>
      </w:r>
      <w:r>
        <w:rPr>
          <w:rFonts w:ascii="Arial" w:cs="Arial" w:eastAsia="Arial" w:hAnsi="Arial"/>
          <w:sz w:val="20"/>
          <w:szCs w:val="20"/>
          <w:b w:val="1"/>
          <w:bCs w:val="1"/>
          <w:i w:val="1"/>
          <w:iCs w:val="1"/>
          <w:color w:val="auto"/>
        </w:rPr>
        <w:t>Separation Date</w:t>
      </w:r>
      <w:r>
        <w:rPr>
          <w:rFonts w:ascii="Arial" w:cs="Arial" w:eastAsia="Arial" w:hAnsi="Arial"/>
          <w:sz w:val="20"/>
          <w:szCs w:val="20"/>
          <w:color w:val="auto"/>
        </w:rPr>
        <w:t>” for purposes of this Agreement.</w:t>
      </w:r>
    </w:p>
    <w:p>
      <w:pPr>
        <w:spacing w:after="0" w:line="149" w:lineRule="exact"/>
        <w:rPr>
          <w:rFonts w:ascii="Arial" w:cs="Arial" w:eastAsia="Arial" w:hAnsi="Arial"/>
          <w:sz w:val="20"/>
          <w:szCs w:val="20"/>
          <w:b w:val="1"/>
          <w:bCs w:val="1"/>
          <w:color w:val="auto"/>
        </w:rPr>
      </w:pPr>
    </w:p>
    <w:p>
      <w:pPr>
        <w:ind w:left="1680" w:hanging="808"/>
        <w:spacing w:after="0"/>
        <w:tabs>
          <w:tab w:leader="none" w:pos="168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RANSITION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ERIOD</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1735"/>
        <w:spacing w:after="0" w:line="273" w:lineRule="auto"/>
        <w:tabs>
          <w:tab w:leader="none" w:pos="2537" w:val="left"/>
        </w:tabs>
        <w:numPr>
          <w:ilvl w:val="1"/>
          <w:numId w:val="1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and Duties. </w:t>
      </w:r>
      <w:r>
        <w:rPr>
          <w:rFonts w:ascii="Arial" w:cs="Arial" w:eastAsia="Arial" w:hAnsi="Arial"/>
          <w:sz w:val="19"/>
          <w:szCs w:val="19"/>
          <w:color w:val="auto"/>
        </w:rPr>
        <w:t>You will retain the title of Chief Financial Officer until September 7, 2021, and</w:t>
      </w:r>
      <w:r>
        <w:rPr>
          <w:rFonts w:ascii="Arial" w:cs="Arial" w:eastAsia="Arial" w:hAnsi="Arial"/>
          <w:sz w:val="19"/>
          <w:szCs w:val="19"/>
          <w:b w:val="1"/>
          <w:bCs w:val="1"/>
          <w:color w:val="auto"/>
        </w:rPr>
        <w:t xml:space="preserve"> </w:t>
      </w:r>
      <w:r>
        <w:rPr>
          <w:rFonts w:ascii="Arial" w:cs="Arial" w:eastAsia="Arial" w:hAnsi="Arial"/>
          <w:sz w:val="19"/>
          <w:szCs w:val="19"/>
          <w:color w:val="auto"/>
        </w:rPr>
        <w:t>thereafter until the Separation Date (such period, the “</w:t>
      </w:r>
      <w:r>
        <w:rPr>
          <w:rFonts w:ascii="Arial" w:cs="Arial" w:eastAsia="Arial" w:hAnsi="Arial"/>
          <w:sz w:val="19"/>
          <w:szCs w:val="19"/>
          <w:b w:val="1"/>
          <w:bCs w:val="1"/>
          <w:i w:val="1"/>
          <w:iCs w:val="1"/>
          <w:color w:val="auto"/>
        </w:rPr>
        <w:t>Transition Period</w:t>
      </w:r>
      <w:r>
        <w:rPr>
          <w:rFonts w:ascii="Arial" w:cs="Arial" w:eastAsia="Arial" w:hAnsi="Arial"/>
          <w:sz w:val="19"/>
          <w:szCs w:val="19"/>
          <w:color w:val="auto"/>
        </w:rPr>
        <w:t>”), your title will be Executive Advisor to the CEO, and you will no longer perform your regular duties except for duties agreed with the CEO, and will instead be required to provide transition briefing on matters for which you are knowledgeable, assistance with transitioning your regular duties and responsibilities, and other tasks as agreed with the Company from time to time. You acknowledge and agree that the change in your duties during the Transition Period will not constitute Good Reason for your resignation pursuant to Section 9(c) of the Change in Control and Severance Agreement entered into between you and the Company dated December 9, 2019 (the “</w:t>
      </w:r>
      <w:r>
        <w:rPr>
          <w:rFonts w:ascii="Arial" w:cs="Arial" w:eastAsia="Arial" w:hAnsi="Arial"/>
          <w:sz w:val="19"/>
          <w:szCs w:val="19"/>
          <w:b w:val="1"/>
          <w:bCs w:val="1"/>
          <w:i w:val="1"/>
          <w:iCs w:val="1"/>
          <w:color w:val="auto"/>
        </w:rPr>
        <w:t>Severance Agreement</w:t>
      </w:r>
      <w:r>
        <w:rPr>
          <w:rFonts w:ascii="Arial" w:cs="Arial" w:eastAsia="Arial" w:hAnsi="Arial"/>
          <w:sz w:val="19"/>
          <w:szCs w:val="19"/>
          <w:color w:val="auto"/>
        </w:rPr>
        <w:t xml:space="preserve">”). You agree to perform your Transition Period services in good faith and to the best of your abilities. You must continue to comply with all of the Company’s policies and procedures and with all of your statutory and contractual obligations to the Company, including, without limitation, your obligations under your Confidential Information, Secrecy and Inventions Agreement (a copy of which is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which you acknowledge and agree are contractual commitments that remain binding upon you both during and after the Transition Period.</w:t>
      </w:r>
    </w:p>
    <w:p>
      <w:pPr>
        <w:spacing w:after="0" w:line="149" w:lineRule="exact"/>
        <w:rPr>
          <w:rFonts w:ascii="Arial" w:cs="Arial" w:eastAsia="Arial" w:hAnsi="Arial"/>
          <w:sz w:val="19"/>
          <w:szCs w:val="19"/>
          <w:b w:val="1"/>
          <w:bCs w:val="1"/>
          <w:color w:val="auto"/>
        </w:rPr>
      </w:pPr>
    </w:p>
    <w:p>
      <w:pPr>
        <w:jc w:val="both"/>
        <w:ind w:firstLine="1735"/>
        <w:spacing w:after="0" w:line="237" w:lineRule="auto"/>
        <w:tabs>
          <w:tab w:leader="none" w:pos="2549" w:val="left"/>
        </w:tabs>
        <w:numPr>
          <w:ilvl w:val="1"/>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Compensation/Benefits. </w:t>
      </w:r>
      <w:r>
        <w:rPr>
          <w:rFonts w:ascii="Arial" w:cs="Arial" w:eastAsia="Arial" w:hAnsi="Arial"/>
          <w:sz w:val="22"/>
          <w:szCs w:val="22"/>
          <w:color w:val="auto"/>
        </w:rPr>
        <w:t>Despite the reduction in your duties and responsibilities,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Transition Period, your base salary will remain the same, and you will continue to be eligible for the Company’s standard benefits, subject to the terms and conditions applicable to such plans and programs as an employee. Your Company equity awards will continue to vest under the existing terms and conditions set forth in the governing plan documents and option agreement.</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254953412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jc w:val="both"/>
        <w:ind w:firstLine="1735"/>
        <w:spacing w:after="0" w:line="276" w:lineRule="auto"/>
        <w:tabs>
          <w:tab w:leader="none" w:pos="2620" w:val="left"/>
        </w:tabs>
        <w:numPr>
          <w:ilvl w:val="1"/>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w:t>
      </w:r>
      <w:r>
        <w:rPr>
          <w:rFonts w:ascii="Arial" w:cs="Arial" w:eastAsia="Arial" w:hAnsi="Arial"/>
          <w:sz w:val="19"/>
          <w:szCs w:val="19"/>
          <w:color w:val="auto"/>
        </w:rPr>
        <w:t>Nothing in this Agreement alters your employment at will status. Accordingly,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during the Transition Period you are entitled to resign your employment with or without Good Reason and with or without or advance notice, and the Company may terminate your employment with or without Cause (as defined below) or advance notice. If prior to March 31, 2022, the Company terminates your employment without Cause, then you will receive the Severance Benefits (as defined and described below),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you have satisfied the conditions for receipt of the Severance Benefits (as set forth below). If prior to March 31, 2022, you resign your employment without Good Reason (as defined in Section 9(c) of the Severance Agreement) or the Company terminates your employment with Cause, then you will no longer be eligible for participation in any Company benefit plans, and you will not be entitled to the Severance Benefits.</w:t>
      </w:r>
    </w:p>
    <w:p>
      <w:pPr>
        <w:spacing w:after="0" w:line="163" w:lineRule="exact"/>
        <w:rPr>
          <w:rFonts w:ascii="Arial" w:cs="Arial" w:eastAsia="Arial" w:hAnsi="Arial"/>
          <w:sz w:val="19"/>
          <w:szCs w:val="19"/>
          <w:b w:val="1"/>
          <w:bCs w:val="1"/>
          <w:color w:val="auto"/>
        </w:rPr>
      </w:pPr>
    </w:p>
    <w:p>
      <w:pPr>
        <w:jc w:val="both"/>
        <w:ind w:firstLine="1735"/>
        <w:spacing w:after="0" w:line="235" w:lineRule="auto"/>
        <w:tabs>
          <w:tab w:leader="none" w:pos="2549" w:val="left"/>
        </w:tabs>
        <w:numPr>
          <w:ilvl w:val="1"/>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2021 Bonus. </w:t>
      </w:r>
      <w:r>
        <w:rPr>
          <w:rFonts w:ascii="Arial" w:cs="Arial" w:eastAsia="Arial" w:hAnsi="Arial"/>
          <w:sz w:val="22"/>
          <w:szCs w:val="22"/>
          <w:color w:val="auto"/>
        </w:rPr>
        <w:t>The Company will pay you a lump sum cash payment, less payroll deductions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withholdings, which is equal to the bonus payment that you would have received based on the CEO’s assessment of your individual performance during your service as Chief Financial Officer, and the Compensation Committee’s assessment of the corporate goal achievement for 2021, and based on your target bonus amount for 2021 pursuant to the Company’s Bonus Plan (the “</w:t>
      </w:r>
      <w:r>
        <w:rPr>
          <w:rFonts w:ascii="Arial" w:cs="Arial" w:eastAsia="Arial" w:hAnsi="Arial"/>
          <w:sz w:val="22"/>
          <w:szCs w:val="22"/>
          <w:b w:val="1"/>
          <w:bCs w:val="1"/>
          <w:i w:val="1"/>
          <w:iCs w:val="1"/>
          <w:color w:val="auto"/>
        </w:rPr>
        <w:t>Bonus Payment</w:t>
      </w:r>
      <w:r>
        <w:rPr>
          <w:rFonts w:ascii="Arial" w:cs="Arial" w:eastAsia="Arial" w:hAnsi="Arial"/>
          <w:sz w:val="22"/>
          <w:szCs w:val="22"/>
          <w:color w:val="auto"/>
        </w:rPr>
        <w:t>”). You will not be eligible for any other bonus under the Company’s Bonus Plan other than the Bonus Payment. The Bonus Payment will be paid to you at the same time as the Bonus is paid to other employees under the Bonus Plan.</w:t>
      </w:r>
    </w:p>
    <w:p>
      <w:pPr>
        <w:spacing w:after="0" w:line="210" w:lineRule="exact"/>
        <w:rPr>
          <w:rFonts w:ascii="Arial" w:cs="Arial" w:eastAsia="Arial" w:hAnsi="Arial"/>
          <w:sz w:val="22"/>
          <w:szCs w:val="22"/>
          <w:b w:val="1"/>
          <w:bCs w:val="1"/>
          <w:color w:val="auto"/>
        </w:rPr>
      </w:pPr>
    </w:p>
    <w:p>
      <w:pPr>
        <w:ind w:left="2540" w:hanging="805"/>
        <w:spacing w:after="0"/>
        <w:tabs>
          <w:tab w:leader="none" w:pos="2540" w:val="left"/>
        </w:tabs>
        <w:numPr>
          <w:ilvl w:val="1"/>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Definition of Cause.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for termination will mean any one</w:t>
      </w:r>
    </w:p>
    <w:p>
      <w:pPr>
        <w:spacing w:after="0" w:line="48" w:lineRule="exact"/>
        <w:rPr>
          <w:rFonts w:ascii="Arial" w:cs="Arial" w:eastAsia="Arial" w:hAnsi="Arial"/>
          <w:sz w:val="19"/>
          <w:szCs w:val="19"/>
          <w:b w:val="1"/>
          <w:bCs w:val="1"/>
          <w:color w:val="auto"/>
        </w:rPr>
      </w:pPr>
    </w:p>
    <w:p>
      <w:pPr>
        <w:jc w:val="both"/>
        <w:spacing w:after="0" w:line="244" w:lineRule="auto"/>
        <w:rPr>
          <w:rFonts w:ascii="Arial" w:cs="Arial" w:eastAsia="Arial" w:hAnsi="Arial"/>
          <w:sz w:val="19"/>
          <w:szCs w:val="19"/>
          <w:b w:val="1"/>
          <w:bCs w:val="1"/>
          <w:color w:val="auto"/>
        </w:rPr>
      </w:pPr>
      <w:r>
        <w:rPr>
          <w:rFonts w:ascii="Arial" w:cs="Arial" w:eastAsia="Arial" w:hAnsi="Arial"/>
          <w:sz w:val="21"/>
          <w:szCs w:val="21"/>
          <w:color w:val="auto"/>
        </w:rPr>
        <w:t>or more of the following: (i) your willful failure to substantially perform your duties and responsibilities to the Company or deliberate violation of a Company policy; (ii) your commission of any act of fraud, embezzlement, dishonesty or any other willful misconduct that has caused or is reasonably expected to result in material injury to the Company; (iii) unauthorized use or disclosure by you of any proprietary information or trade secrets of the Company or any other party to whom you owe an obligation of nondisclosure as a result of your relationship with the Company; or (iv) your willful breach of any of your obligations under any written agreement or covenant with the Company.</w:t>
      </w:r>
    </w:p>
    <w:p>
      <w:pPr>
        <w:spacing w:after="0" w:line="203" w:lineRule="exact"/>
        <w:rPr>
          <w:rFonts w:ascii="Arial" w:cs="Arial" w:eastAsia="Arial" w:hAnsi="Arial"/>
          <w:sz w:val="19"/>
          <w:szCs w:val="19"/>
          <w:b w:val="1"/>
          <w:bCs w:val="1"/>
          <w:color w:val="auto"/>
        </w:rPr>
      </w:pPr>
    </w:p>
    <w:p>
      <w:pPr>
        <w:jc w:val="both"/>
        <w:ind w:firstLine="872"/>
        <w:spacing w:after="0" w:line="243" w:lineRule="auto"/>
        <w:tabs>
          <w:tab w:leader="none" w:pos="1674"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CCRUED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ALARY</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2"/>
          <w:szCs w:val="22"/>
          <w:b w:val="1"/>
          <w:bCs w:val="1"/>
          <w:color w:val="auto"/>
        </w:rPr>
        <w:t xml:space="preserve"> V</w:t>
      </w:r>
      <w:r>
        <w:rPr>
          <w:rFonts w:ascii="Arial" w:cs="Arial" w:eastAsia="Arial" w:hAnsi="Arial"/>
          <w:sz w:val="14"/>
          <w:szCs w:val="14"/>
          <w:b w:val="1"/>
          <w:bCs w:val="1"/>
          <w:color w:val="auto"/>
        </w:rPr>
        <w:t>ACATION</w:t>
      </w:r>
      <w:r>
        <w:rPr>
          <w:rFonts w:ascii="Arial" w:cs="Arial" w:eastAsia="Arial" w:hAnsi="Arial"/>
          <w:sz w:val="22"/>
          <w:szCs w:val="22"/>
          <w:b w:val="1"/>
          <w:bCs w:val="1"/>
          <w:color w:val="auto"/>
        </w:rPr>
        <w:t xml:space="preserve">. </w:t>
      </w:r>
      <w:r>
        <w:rPr>
          <w:rFonts w:ascii="Arial" w:cs="Arial" w:eastAsia="Arial" w:hAnsi="Arial"/>
          <w:sz w:val="22"/>
          <w:szCs w:val="22"/>
          <w:color w:val="auto"/>
        </w:rPr>
        <w:t>On the Separation Date, the Company will pay you all accrued salary and</w:t>
      </w:r>
      <w:r>
        <w:rPr>
          <w:rFonts w:ascii="Arial" w:cs="Arial" w:eastAsia="Arial" w:hAnsi="Arial"/>
          <w:sz w:val="22"/>
          <w:szCs w:val="22"/>
          <w:b w:val="1"/>
          <w:bCs w:val="1"/>
          <w:color w:val="auto"/>
        </w:rPr>
        <w:t xml:space="preserve"> </w:t>
      </w:r>
      <w:r>
        <w:rPr>
          <w:rFonts w:ascii="Arial" w:cs="Arial" w:eastAsia="Arial" w:hAnsi="Arial"/>
          <w:sz w:val="22"/>
          <w:szCs w:val="22"/>
          <w:color w:val="auto"/>
        </w:rPr>
        <w:t>accrued but unused vacation, if any, earned through the last day of your employment, subject to standard payroll deductions and withholdings.</w:t>
      </w:r>
    </w:p>
    <w:p>
      <w:pPr>
        <w:spacing w:after="0" w:line="176" w:lineRule="exact"/>
        <w:rPr>
          <w:rFonts w:ascii="Arial" w:cs="Arial" w:eastAsia="Arial" w:hAnsi="Arial"/>
          <w:sz w:val="22"/>
          <w:szCs w:val="22"/>
          <w:b w:val="1"/>
          <w:bCs w:val="1"/>
          <w:color w:val="auto"/>
        </w:rPr>
      </w:pPr>
    </w:p>
    <w:p>
      <w:pPr>
        <w:jc w:val="both"/>
        <w:ind w:firstLine="872"/>
        <w:spacing w:after="0" w:line="264" w:lineRule="auto"/>
        <w:tabs>
          <w:tab w:leader="none" w:pos="1674"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EVERANCE</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ENEFITS</w:t>
      </w:r>
      <w:r>
        <w:rPr>
          <w:rFonts w:ascii="Arial" w:cs="Arial" w:eastAsia="Arial" w:hAnsi="Arial"/>
          <w:sz w:val="20"/>
          <w:szCs w:val="20"/>
          <w:b w:val="1"/>
          <w:bCs w:val="1"/>
          <w:color w:val="auto"/>
        </w:rPr>
        <w:t xml:space="preserve">. </w:t>
      </w:r>
      <w:r>
        <w:rPr>
          <w:rFonts w:ascii="Arial" w:cs="Arial" w:eastAsia="Arial" w:hAnsi="Arial"/>
          <w:sz w:val="20"/>
          <w:szCs w:val="20"/>
          <w:color w:val="auto"/>
        </w:rPr>
        <w:t>In full satisfaction of any obligation for the Company to provide you with severance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benefits pursuant to the Severance Agreement, if your employment is terminated without Cause prior to March 31, 2022, and if you: (i) allow the release contained herein to become effective; and (ii) comply fully with your obligations hereunder; and (iii) within twenty-one (21) days after the Separation Date , execute and return to the Company the release of claims in the form attached hereto as </w:t>
      </w:r>
      <w:r>
        <w:rPr>
          <w:rFonts w:ascii="Arial" w:cs="Arial" w:eastAsia="Arial" w:hAnsi="Arial"/>
          <w:sz w:val="20"/>
          <w:szCs w:val="20"/>
          <w:b w:val="1"/>
          <w:bCs w:val="1"/>
          <w:color w:val="auto"/>
        </w:rPr>
        <w:t>Exhibit B</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Separation Date Release</w:t>
      </w:r>
      <w:r>
        <w:rPr>
          <w:rFonts w:ascii="Arial" w:cs="Arial" w:eastAsia="Arial" w:hAnsi="Arial"/>
          <w:sz w:val="20"/>
          <w:szCs w:val="20"/>
          <w:color w:val="auto"/>
        </w:rPr>
        <w:t>”) and allow the Separation Date Release to become effective, then the Company will provide you with the following as your sole severance benefits (the “</w:t>
      </w:r>
      <w:r>
        <w:rPr>
          <w:rFonts w:ascii="Arial" w:cs="Arial" w:eastAsia="Arial" w:hAnsi="Arial"/>
          <w:sz w:val="20"/>
          <w:szCs w:val="20"/>
          <w:b w:val="1"/>
          <w:bCs w:val="1"/>
          <w:i w:val="1"/>
          <w:iCs w:val="1"/>
          <w:color w:val="auto"/>
        </w:rPr>
        <w:t>Severance Benefits</w:t>
      </w:r>
      <w:r>
        <w:rPr>
          <w:rFonts w:ascii="Arial" w:cs="Arial" w:eastAsia="Arial" w:hAnsi="Arial"/>
          <w:sz w:val="20"/>
          <w:szCs w:val="20"/>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0" w:name="page141"/>
    <w:bookmarkEnd w:id="140"/>
    <w:p>
      <w:pPr>
        <w:jc w:val="both"/>
        <w:ind w:firstLine="1735"/>
        <w:spacing w:after="0" w:line="249" w:lineRule="auto"/>
        <w:tabs>
          <w:tab w:leader="none" w:pos="2537" w:val="left"/>
        </w:tabs>
        <w:numPr>
          <w:ilvl w:val="0"/>
          <w:numId w:val="14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Severance Pay. </w:t>
      </w:r>
      <w:r>
        <w:rPr>
          <w:rFonts w:ascii="Arial" w:cs="Arial" w:eastAsia="Arial" w:hAnsi="Arial"/>
          <w:sz w:val="21"/>
          <w:szCs w:val="21"/>
          <w:color w:val="auto"/>
        </w:rPr>
        <w:t>The Company will pay you, as severance, your base salary that you would have</w:t>
      </w:r>
      <w:r>
        <w:rPr>
          <w:rFonts w:ascii="Arial" w:cs="Arial" w:eastAsia="Arial" w:hAnsi="Arial"/>
          <w:sz w:val="21"/>
          <w:szCs w:val="21"/>
          <w:b w:val="1"/>
          <w:bCs w:val="1"/>
          <w:color w:val="auto"/>
        </w:rPr>
        <w:t xml:space="preserve"> </w:t>
      </w:r>
      <w:r>
        <w:rPr>
          <w:rFonts w:ascii="Arial" w:cs="Arial" w:eastAsia="Arial" w:hAnsi="Arial"/>
          <w:sz w:val="21"/>
          <w:szCs w:val="21"/>
          <w:color w:val="auto"/>
        </w:rPr>
        <w:t>earned had you remained continuously employed with the Company from the date of your employment termination until March 31, 2022 (the “</w:t>
      </w:r>
      <w:r>
        <w:rPr>
          <w:rFonts w:ascii="Arial" w:cs="Arial" w:eastAsia="Arial" w:hAnsi="Arial"/>
          <w:sz w:val="21"/>
          <w:szCs w:val="21"/>
          <w:b w:val="1"/>
          <w:bCs w:val="1"/>
          <w:i w:val="1"/>
          <w:iCs w:val="1"/>
          <w:color w:val="auto"/>
        </w:rPr>
        <w:t>Severance Payment</w:t>
      </w:r>
      <w:r>
        <w:rPr>
          <w:rFonts w:ascii="Arial" w:cs="Arial" w:eastAsia="Arial" w:hAnsi="Arial"/>
          <w:sz w:val="21"/>
          <w:szCs w:val="21"/>
          <w:color w:val="auto"/>
        </w:rPr>
        <w:t>”). The Severance Payment will be paid in the form of salary continuation payments on the Company’s regular payroll schedule, subject to standard payroll deductions and withholdings, with the first salary continuation payment being made on or before the Company’s second regularly scheduled payroll pay date that is after the Separation Date Release Effective Date (as defined in the Separation Date Release).</w:t>
      </w:r>
    </w:p>
    <w:p>
      <w:pPr>
        <w:spacing w:after="0" w:line="171" w:lineRule="exact"/>
        <w:rPr>
          <w:rFonts w:ascii="Arial" w:cs="Arial" w:eastAsia="Arial" w:hAnsi="Arial"/>
          <w:sz w:val="21"/>
          <w:szCs w:val="21"/>
          <w:b w:val="1"/>
          <w:bCs w:val="1"/>
          <w:color w:val="auto"/>
        </w:rPr>
      </w:pPr>
    </w:p>
    <w:p>
      <w:pPr>
        <w:ind w:left="2560" w:hanging="825"/>
        <w:spacing w:after="0"/>
        <w:tabs>
          <w:tab w:leader="none" w:pos="256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color w:val="auto"/>
        </w:rPr>
        <w:t>Health Insurance.</w:t>
      </w:r>
    </w:p>
    <w:p>
      <w:pPr>
        <w:spacing w:after="0" w:line="179" w:lineRule="exact"/>
        <w:rPr>
          <w:rFonts w:ascii="Arial" w:cs="Arial" w:eastAsia="Arial" w:hAnsi="Arial"/>
          <w:sz w:val="22"/>
          <w:szCs w:val="22"/>
          <w:b w:val="1"/>
          <w:bCs w:val="1"/>
          <w:color w:val="auto"/>
        </w:rPr>
      </w:pPr>
    </w:p>
    <w:p>
      <w:pPr>
        <w:jc w:val="both"/>
        <w:ind w:firstLine="2600"/>
        <w:spacing w:after="0" w:line="239" w:lineRule="auto"/>
        <w:tabs>
          <w:tab w:leader="none" w:pos="3461" w:val="left"/>
        </w:tabs>
        <w:numPr>
          <w:ilvl w:val="1"/>
          <w:numId w:val="144"/>
        </w:numPr>
        <w:rPr>
          <w:rFonts w:ascii="Arial" w:cs="Arial" w:eastAsia="Arial" w:hAnsi="Arial"/>
          <w:sz w:val="23"/>
          <w:szCs w:val="23"/>
          <w:b w:val="1"/>
          <w:bCs w:val="1"/>
          <w:color w:val="auto"/>
        </w:rPr>
      </w:pPr>
      <w:r>
        <w:rPr>
          <w:rFonts w:ascii="Arial" w:cs="Arial" w:eastAsia="Arial" w:hAnsi="Arial"/>
          <w:sz w:val="22"/>
          <w:szCs w:val="22"/>
          <w:b w:val="1"/>
          <w:bCs w:val="1"/>
          <w:color w:val="auto"/>
        </w:rPr>
        <w:t xml:space="preserve">COBRA. </w:t>
      </w:r>
      <w:r>
        <w:rPr>
          <w:rFonts w:ascii="Arial" w:cs="Arial" w:eastAsia="Arial" w:hAnsi="Arial"/>
          <w:sz w:val="22"/>
          <w:szCs w:val="22"/>
          <w:color w:val="auto"/>
        </w:rPr>
        <w:t>To the extent provided by the federal COBRA law or, if applicable, state</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 laws (collectively, “</w:t>
      </w:r>
      <w:r>
        <w:rPr>
          <w:rFonts w:ascii="Arial" w:cs="Arial" w:eastAsia="Arial" w:hAnsi="Arial"/>
          <w:sz w:val="22"/>
          <w:szCs w:val="22"/>
          <w:b w:val="1"/>
          <w:bCs w:val="1"/>
          <w:i w:val="1"/>
          <w:iCs w:val="1"/>
          <w:color w:val="auto"/>
        </w:rPr>
        <w:t>COBRA</w:t>
      </w:r>
      <w:r>
        <w:rPr>
          <w:rFonts w:ascii="Arial" w:cs="Arial" w:eastAsia="Arial" w:hAnsi="Arial"/>
          <w:sz w:val="22"/>
          <w:szCs w:val="22"/>
          <w:color w:val="auto"/>
        </w:rPr>
        <w:t>”), and by the Company’s current group health insurance policies, you will be eligible to continue your group health insurance benefits at your own expense. You will be provided with a separate notice describing your rights and obligations under COBRA laws on or after the Separation Date.</w:t>
      </w:r>
    </w:p>
    <w:p>
      <w:pPr>
        <w:spacing w:after="0" w:line="195" w:lineRule="exact"/>
        <w:rPr>
          <w:rFonts w:ascii="Arial" w:cs="Arial" w:eastAsia="Arial" w:hAnsi="Arial"/>
          <w:sz w:val="23"/>
          <w:szCs w:val="23"/>
          <w:b w:val="1"/>
          <w:bCs w:val="1"/>
          <w:color w:val="auto"/>
        </w:rPr>
      </w:pPr>
    </w:p>
    <w:p>
      <w:pPr>
        <w:jc w:val="both"/>
        <w:ind w:firstLine="2600"/>
        <w:spacing w:after="0" w:line="262" w:lineRule="auto"/>
        <w:tabs>
          <w:tab w:leader="none" w:pos="3526" w:val="left"/>
        </w:tabs>
        <w:numPr>
          <w:ilvl w:val="1"/>
          <w:numId w:val="144"/>
        </w:numPr>
        <w:rPr>
          <w:rFonts w:ascii="Arial" w:cs="Arial" w:eastAsia="Arial" w:hAnsi="Arial"/>
          <w:sz w:val="21"/>
          <w:szCs w:val="21"/>
          <w:b w:val="1"/>
          <w:bCs w:val="1"/>
          <w:color w:val="auto"/>
        </w:rPr>
      </w:pPr>
      <w:r>
        <w:rPr>
          <w:rFonts w:ascii="Arial" w:cs="Arial" w:eastAsia="Arial" w:hAnsi="Arial"/>
          <w:sz w:val="20"/>
          <w:szCs w:val="20"/>
          <w:b w:val="1"/>
          <w:bCs w:val="1"/>
          <w:color w:val="auto"/>
        </w:rPr>
        <w:t>COBRA Premiums</w:t>
      </w:r>
      <w:r>
        <w:rPr>
          <w:rFonts w:ascii="Arial" w:cs="Arial" w:eastAsia="Arial" w:hAnsi="Arial"/>
          <w:sz w:val="20"/>
          <w:szCs w:val="20"/>
          <w:color w:val="auto"/>
        </w:rPr>
        <w:t>. If you timely elect continued coverage under COBRA,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will pay your COBRA premiums to continue your coverage (including coverage for eligible dependents, if applicable) (“</w:t>
      </w:r>
      <w:r>
        <w:rPr>
          <w:rFonts w:ascii="Arial" w:cs="Arial" w:eastAsia="Arial" w:hAnsi="Arial"/>
          <w:sz w:val="20"/>
          <w:szCs w:val="20"/>
          <w:b w:val="1"/>
          <w:bCs w:val="1"/>
          <w:i w:val="1"/>
          <w:iCs w:val="1"/>
          <w:color w:val="auto"/>
        </w:rPr>
        <w:t>COBRA Premiums</w:t>
      </w:r>
      <w:r>
        <w:rPr>
          <w:rFonts w:ascii="Arial" w:cs="Arial" w:eastAsia="Arial" w:hAnsi="Arial"/>
          <w:sz w:val="20"/>
          <w:szCs w:val="20"/>
          <w:color w:val="auto"/>
        </w:rPr>
        <w:t>”) through the period (the “</w:t>
      </w:r>
      <w:r>
        <w:rPr>
          <w:rFonts w:ascii="Arial" w:cs="Arial" w:eastAsia="Arial" w:hAnsi="Arial"/>
          <w:sz w:val="20"/>
          <w:szCs w:val="20"/>
          <w:b w:val="1"/>
          <w:bCs w:val="1"/>
          <w:i w:val="1"/>
          <w:iCs w:val="1"/>
          <w:color w:val="auto"/>
        </w:rPr>
        <w:t>COBRA Premium Period</w:t>
      </w:r>
      <w:r>
        <w:rPr>
          <w:rFonts w:ascii="Arial" w:cs="Arial" w:eastAsia="Arial" w:hAnsi="Arial"/>
          <w:sz w:val="20"/>
          <w:szCs w:val="20"/>
          <w:color w:val="auto"/>
        </w:rPr>
        <w:t>”) starting on the Separation Date and ending on the earliest to occur of: March 31, 2022; (ii) the date you become eligible for group health insurance coverage through a new employer; or (iii) the date you cease to be eligible for COBRA continuation coverage for any reason, including plan termination. In the event you become covered under another employer's group health plan or otherwise cease to be eligible for COBRA during the COBRA Premium Period, you must immediately notify the Company in writing of such event.</w:t>
      </w:r>
    </w:p>
    <w:p>
      <w:pPr>
        <w:spacing w:after="0" w:line="174" w:lineRule="exact"/>
        <w:rPr>
          <w:rFonts w:ascii="Arial" w:cs="Arial" w:eastAsia="Arial" w:hAnsi="Arial"/>
          <w:sz w:val="21"/>
          <w:szCs w:val="21"/>
          <w:b w:val="1"/>
          <w:bCs w:val="1"/>
          <w:color w:val="auto"/>
        </w:rPr>
      </w:pPr>
    </w:p>
    <w:p>
      <w:pPr>
        <w:jc w:val="both"/>
        <w:ind w:firstLine="2600"/>
        <w:spacing w:after="0" w:line="273" w:lineRule="auto"/>
        <w:tabs>
          <w:tab w:leader="none" w:pos="3591" w:val="left"/>
        </w:tabs>
        <w:numPr>
          <w:ilvl w:val="1"/>
          <w:numId w:val="144"/>
        </w:numPr>
        <w:rPr>
          <w:rFonts w:ascii="Arial" w:cs="Arial" w:eastAsia="Arial" w:hAnsi="Arial"/>
          <w:sz w:val="20"/>
          <w:szCs w:val="20"/>
          <w:b w:val="1"/>
          <w:bCs w:val="1"/>
          <w:color w:val="auto"/>
        </w:rPr>
      </w:pPr>
      <w:r>
        <w:rPr>
          <w:rFonts w:ascii="Arial" w:cs="Arial" w:eastAsia="Arial" w:hAnsi="Arial"/>
          <w:sz w:val="19"/>
          <w:szCs w:val="19"/>
          <w:b w:val="1"/>
          <w:bCs w:val="1"/>
          <w:color w:val="auto"/>
        </w:rPr>
        <w:t>Special Cash Payments in Lieu of COBRA Premiums</w:t>
      </w:r>
      <w:r>
        <w:rPr>
          <w:rFonts w:ascii="Arial" w:cs="Arial" w:eastAsia="Arial" w:hAnsi="Arial"/>
          <w:sz w:val="19"/>
          <w:szCs w:val="19"/>
          <w:color w:val="auto"/>
        </w:rPr>
        <w:t>. Notwithstanding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foregoing, if the Company determines, in its sole discretion, that it cannot pay the COBRA Premiums without a substantial risk of violating applicable law (including, without limitation, Section 2716 of the Public Health Service Act), the Company instead shall pay to you, on the first day of each calendar month, a fully taxable cash payment equal to the applicable COBRA premiums for that month (including premiums for you and your eligible dependents who have elected and remain enrolled in such COBRA coverage), subject to applicable tax withholdings (such amount, the “</w:t>
      </w:r>
      <w:r>
        <w:rPr>
          <w:rFonts w:ascii="Arial" w:cs="Arial" w:eastAsia="Arial" w:hAnsi="Arial"/>
          <w:sz w:val="19"/>
          <w:szCs w:val="19"/>
          <w:b w:val="1"/>
          <w:bCs w:val="1"/>
          <w:i w:val="1"/>
          <w:iCs w:val="1"/>
          <w:color w:val="auto"/>
        </w:rPr>
        <w:t>Special Cash Payment</w:t>
      </w:r>
      <w:r>
        <w:rPr>
          <w:rFonts w:ascii="Arial" w:cs="Arial" w:eastAsia="Arial" w:hAnsi="Arial"/>
          <w:sz w:val="19"/>
          <w:szCs w:val="19"/>
          <w:color w:val="auto"/>
        </w:rPr>
        <w:t>”), for the remainder of the COBRA Premium Period. You may, but are not obligated to, use such Special Cash Payments toward the cost of COBRA premiums. On the thirtieth (30</w:t>
      </w:r>
      <w:r>
        <w:rPr>
          <w:rFonts w:ascii="Arial" w:cs="Arial" w:eastAsia="Arial" w:hAnsi="Arial"/>
          <w:sz w:val="16"/>
          <w:szCs w:val="16"/>
          <w:color w:val="auto"/>
        </w:rPr>
        <w:t>th</w:t>
      </w:r>
      <w:r>
        <w:rPr>
          <w:rFonts w:ascii="Arial" w:cs="Arial" w:eastAsia="Arial" w:hAnsi="Arial"/>
          <w:sz w:val="19"/>
          <w:szCs w:val="19"/>
          <w:color w:val="auto"/>
        </w:rPr>
        <w:t>) day following your Separation from Service, the Company will make the first payment to you under this paragraph, in a lump sum, equal to the aggregate Special Cash Payments that the Company would have paid to you through such date had the Special Cash Payments commenced on the first day of the first month following the Separation from Service through such thirtieth (30</w:t>
      </w:r>
      <w:r>
        <w:rPr>
          <w:rFonts w:ascii="Arial" w:cs="Arial" w:eastAsia="Arial" w:hAnsi="Arial"/>
          <w:sz w:val="16"/>
          <w:szCs w:val="16"/>
          <w:color w:val="auto"/>
        </w:rPr>
        <w:t>th</w:t>
      </w:r>
      <w:r>
        <w:rPr>
          <w:rFonts w:ascii="Arial" w:cs="Arial" w:eastAsia="Arial" w:hAnsi="Arial"/>
          <w:sz w:val="19"/>
          <w:szCs w:val="19"/>
          <w:color w:val="auto"/>
        </w:rPr>
        <w:t>) day, with the balance of the Special Cash Payments paid thereafter on the schedule described above.</w:t>
      </w:r>
    </w:p>
    <w:p>
      <w:pPr>
        <w:spacing w:after="0" w:line="155" w:lineRule="exact"/>
        <w:rPr>
          <w:rFonts w:ascii="Arial" w:cs="Arial" w:eastAsia="Arial" w:hAnsi="Arial"/>
          <w:sz w:val="20"/>
          <w:szCs w:val="20"/>
          <w:b w:val="1"/>
          <w:bCs w:val="1"/>
          <w:color w:val="auto"/>
        </w:rPr>
      </w:pPr>
    </w:p>
    <w:p>
      <w:pPr>
        <w:ind w:firstLine="1735"/>
        <w:spacing w:after="0" w:line="334" w:lineRule="auto"/>
        <w:tabs>
          <w:tab w:leader="none" w:pos="2525" w:val="left"/>
        </w:tabs>
        <w:numPr>
          <w:ilvl w:val="0"/>
          <w:numId w:val="1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2021 Bonus. </w:t>
      </w:r>
      <w:r>
        <w:rPr>
          <w:rFonts w:ascii="Arial" w:cs="Arial" w:eastAsia="Arial" w:hAnsi="Arial"/>
          <w:sz w:val="19"/>
          <w:szCs w:val="19"/>
          <w:color w:val="auto"/>
        </w:rPr>
        <w:t>In the event you have not received your 2021 bonus prior to the Separation Date, you</w:t>
      </w:r>
      <w:r>
        <w:rPr>
          <w:rFonts w:ascii="Arial" w:cs="Arial" w:eastAsia="Arial" w:hAnsi="Arial"/>
          <w:sz w:val="19"/>
          <w:szCs w:val="19"/>
          <w:b w:val="1"/>
          <w:bCs w:val="1"/>
          <w:color w:val="auto"/>
        </w:rPr>
        <w:t xml:space="preserve"> </w:t>
      </w:r>
      <w:r>
        <w:rPr>
          <w:rFonts w:ascii="Arial" w:cs="Arial" w:eastAsia="Arial" w:hAnsi="Arial"/>
          <w:sz w:val="19"/>
          <w:szCs w:val="19"/>
          <w:color w:val="auto"/>
        </w:rPr>
        <w:t>will remain eligible to receive your 2021 bonus as set forth in Section 2(d) of this Agreement as a Severance Benefit.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1" w:name="page142"/>
    <w:bookmarkEnd w:id="141"/>
    <w:p>
      <w:pPr>
        <w:jc w:val="both"/>
        <w:ind w:firstLine="1735"/>
        <w:spacing w:after="0" w:line="247" w:lineRule="auto"/>
        <w:tabs>
          <w:tab w:leader="none" w:pos="2549" w:val="left"/>
        </w:tabs>
        <w:numPr>
          <w:ilvl w:val="1"/>
          <w:numId w:val="145"/>
        </w:numPr>
        <w:rPr>
          <w:rFonts w:ascii="Arial" w:cs="Arial" w:eastAsia="Arial" w:hAnsi="Arial"/>
          <w:sz w:val="21"/>
          <w:szCs w:val="21"/>
          <w:b w:val="1"/>
          <w:bCs w:val="1"/>
          <w:color w:val="auto"/>
        </w:rPr>
      </w:pPr>
      <w:r>
        <w:rPr>
          <w:rFonts w:ascii="Arial" w:cs="Arial" w:eastAsia="Arial" w:hAnsi="Arial"/>
          <w:sz w:val="21"/>
          <w:szCs w:val="21"/>
          <w:b w:val="1"/>
          <w:bCs w:val="1"/>
          <w:color w:val="auto"/>
        </w:rPr>
        <w:t>Equity</w:t>
      </w:r>
      <w:r>
        <w:rPr>
          <w:rFonts w:ascii="Arial" w:cs="Arial" w:eastAsia="Arial" w:hAnsi="Arial"/>
          <w:sz w:val="21"/>
          <w:szCs w:val="21"/>
          <w:color w:val="auto"/>
        </w:rPr>
        <w:t>. Your Stock Awards will cease vesting as of your last day of employment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Notwithstanding anything to the contrary in this Agreement or the applicable equity documents, the Company will accelerate the vesting of all unvested Stock Awards held by you as of your employment termination date with respect to the portion of the shares subject thereto that would have vested during the period from your employment termination date until March 31, 2022 as if you had remained continuously employed through March 31, 2021. Except as expressly modified herein, your Stock Awards will continue to be governed by the terms of the applicable equity incentive plan and other Stock Award documents, and your rights to exercise any vested Stock Awards shall be as set forth in the applicable equity incentive plan and/or the applicable Stock Award notices and agreements.</w:t>
      </w:r>
    </w:p>
    <w:p>
      <w:pPr>
        <w:spacing w:after="0" w:line="172" w:lineRule="exact"/>
        <w:rPr>
          <w:rFonts w:ascii="Arial" w:cs="Arial" w:eastAsia="Arial" w:hAnsi="Arial"/>
          <w:sz w:val="21"/>
          <w:szCs w:val="21"/>
          <w:b w:val="1"/>
          <w:bCs w:val="1"/>
          <w:color w:val="auto"/>
        </w:rPr>
      </w:pPr>
    </w:p>
    <w:p>
      <w:pPr>
        <w:jc w:val="both"/>
        <w:ind w:firstLine="1735"/>
        <w:spacing w:after="0" w:line="280" w:lineRule="auto"/>
        <w:tabs>
          <w:tab w:leader="none" w:pos="2525" w:val="left"/>
        </w:tabs>
        <w:numPr>
          <w:ilvl w:val="1"/>
          <w:numId w:val="14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Benefits in lieu of Severance Agreement. </w:t>
      </w:r>
      <w:r>
        <w:rPr>
          <w:rFonts w:ascii="Arial" w:cs="Arial" w:eastAsia="Arial" w:hAnsi="Arial"/>
          <w:sz w:val="19"/>
          <w:szCs w:val="19"/>
          <w:color w:val="auto"/>
        </w:rPr>
        <w:t>You will otherwise remain eligible for the benefits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in the Severance Agreement in the event of a Change in Control (as defined in the Severance Agreement). However, you acknowledge and agree that the benefits provided in this Agreement are in lieu of the severance benefits provided in Section 3(c) the Severance Agreement (as defined below), and that, except as set forth above, in providing you with the benefits contained this in this Agreement, the Company has fully extinguished any obligation it has to you to provide you with such severance benefits pursuant to the Severance Agreement or any other severance plan, program, or agreement.</w:t>
      </w:r>
    </w:p>
    <w:p>
      <w:pPr>
        <w:spacing w:after="0" w:line="144" w:lineRule="exact"/>
        <w:rPr>
          <w:rFonts w:ascii="Arial" w:cs="Arial" w:eastAsia="Arial" w:hAnsi="Arial"/>
          <w:sz w:val="19"/>
          <w:szCs w:val="19"/>
          <w:b w:val="1"/>
          <w:bCs w:val="1"/>
          <w:color w:val="auto"/>
        </w:rPr>
      </w:pPr>
    </w:p>
    <w:p>
      <w:pPr>
        <w:jc w:val="both"/>
        <w:ind w:firstLine="872"/>
        <w:spacing w:after="0" w:line="239" w:lineRule="auto"/>
        <w:tabs>
          <w:tab w:leader="none" w:pos="1674"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ROPRIETARY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Both during and after your employment you acknowledge your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continuing obligations under your Confidential Information, Secrecy and Inventions Agreement, including your obligations not to use or disclose any confidential or proprietary information of the Company. A copy of your Confidential Information, Secrecy and Inventions Agreement is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180" w:lineRule="exact"/>
        <w:rPr>
          <w:rFonts w:ascii="Arial" w:cs="Arial" w:eastAsia="Arial" w:hAnsi="Arial"/>
          <w:sz w:val="22"/>
          <w:szCs w:val="22"/>
          <w:b w:val="1"/>
          <w:bCs w:val="1"/>
          <w:color w:val="auto"/>
        </w:rPr>
      </w:pPr>
    </w:p>
    <w:p>
      <w:pPr>
        <w:jc w:val="both"/>
        <w:ind w:firstLine="872"/>
        <w:spacing w:after="0" w:line="236" w:lineRule="auto"/>
        <w:tabs>
          <w:tab w:leader="none" w:pos="1674"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 OR</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22"/>
          <w:szCs w:val="22"/>
          <w:b w:val="1"/>
          <w:bCs w:val="1"/>
          <w:color w:val="auto"/>
        </w:rPr>
        <w:t xml:space="preserve">. </w:t>
      </w:r>
      <w:r>
        <w:rPr>
          <w:rFonts w:ascii="Arial" w:cs="Arial" w:eastAsia="Arial" w:hAnsi="Arial"/>
          <w:sz w:val="22"/>
          <w:szCs w:val="22"/>
          <w:color w:val="auto"/>
        </w:rPr>
        <w:t>You acknowledge that, except as expressly provided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you have not earned, and will not receive from the Company, any additional compensation, severance, or benefits on or after the Separation Date, with the exception of any vested right you may have under the express terms of a written ERISA-qualified benefit plan (e.g., 401(k) account). By way of example, you acknowledge that you have not earned and are not owed any equity, bonus, incentive compensation, severance benefits, or commissions that are not otherwise provided for in this Agreement.</w:t>
      </w:r>
    </w:p>
    <w:p>
      <w:pPr>
        <w:spacing w:after="0" w:line="181" w:lineRule="exact"/>
        <w:rPr>
          <w:rFonts w:ascii="Arial" w:cs="Arial" w:eastAsia="Arial" w:hAnsi="Arial"/>
          <w:sz w:val="22"/>
          <w:szCs w:val="22"/>
          <w:b w:val="1"/>
          <w:bCs w:val="1"/>
          <w:color w:val="auto"/>
        </w:rPr>
      </w:pPr>
    </w:p>
    <w:p>
      <w:pPr>
        <w:jc w:val="both"/>
        <w:ind w:firstLine="872"/>
        <w:spacing w:after="0" w:line="239" w:lineRule="auto"/>
        <w:tabs>
          <w:tab w:leader="none" w:pos="1674"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XPENSE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EIMBURSEMENTS</w:t>
      </w:r>
      <w:r>
        <w:rPr>
          <w:rFonts w:ascii="Arial" w:cs="Arial" w:eastAsia="Arial" w:hAnsi="Arial"/>
          <w:sz w:val="22"/>
          <w:szCs w:val="22"/>
          <w:b w:val="1"/>
          <w:bCs w:val="1"/>
          <w:color w:val="auto"/>
        </w:rPr>
        <w:t xml:space="preserve">. </w:t>
      </w:r>
      <w:r>
        <w:rPr>
          <w:rFonts w:ascii="Arial" w:cs="Arial" w:eastAsia="Arial" w:hAnsi="Arial"/>
          <w:sz w:val="22"/>
          <w:szCs w:val="22"/>
          <w:color w:val="auto"/>
        </w:rPr>
        <w:t>You agree that, within fifteen (15) days after the Separation Date, you will submit</w:t>
      </w:r>
      <w:r>
        <w:rPr>
          <w:rFonts w:ascii="Arial" w:cs="Arial" w:eastAsia="Arial" w:hAnsi="Arial"/>
          <w:sz w:val="22"/>
          <w:szCs w:val="22"/>
          <w:b w:val="1"/>
          <w:bCs w:val="1"/>
          <w:color w:val="auto"/>
        </w:rPr>
        <w:t xml:space="preserve"> </w:t>
      </w:r>
      <w:r>
        <w:rPr>
          <w:rFonts w:ascii="Arial" w:cs="Arial" w:eastAsia="Arial" w:hAnsi="Arial"/>
          <w:sz w:val="22"/>
          <w:szCs w:val="22"/>
          <w:color w:val="auto"/>
        </w:rPr>
        <w:t>your final documented expense reimbursement statement reflecting all business expenses you incurred through the last day of your employment, if any, for which you seek reimbursement. The Company will reimburse you for reasonable business expenses pursuant to its regular business practice.</w:t>
      </w:r>
    </w:p>
    <w:p>
      <w:pPr>
        <w:spacing w:after="0" w:line="220" w:lineRule="exact"/>
        <w:rPr>
          <w:rFonts w:ascii="Arial" w:cs="Arial" w:eastAsia="Arial" w:hAnsi="Arial"/>
          <w:sz w:val="22"/>
          <w:szCs w:val="22"/>
          <w:b w:val="1"/>
          <w:bCs w:val="1"/>
          <w:color w:val="auto"/>
        </w:rPr>
      </w:pPr>
    </w:p>
    <w:p>
      <w:pPr>
        <w:jc w:val="both"/>
        <w:ind w:firstLine="872"/>
        <w:spacing w:after="0" w:line="244" w:lineRule="auto"/>
        <w:tabs>
          <w:tab w:leader="none" w:pos="1700" w:val="left"/>
        </w:tabs>
        <w:numPr>
          <w:ilvl w:val="0"/>
          <w:numId w:val="146"/>
        </w:numPr>
        <w:rPr>
          <w:rFonts w:ascii="Arial" w:cs="Arial" w:eastAsia="Arial" w:hAnsi="Arial"/>
          <w:sz w:val="24"/>
          <w:szCs w:val="24"/>
          <w:b w:val="1"/>
          <w:bCs w:val="1"/>
          <w:color w:val="auto"/>
        </w:rPr>
      </w:pPr>
      <w:r>
        <w:rPr>
          <w:rFonts w:ascii="Arial" w:cs="Arial" w:eastAsia="Arial" w:hAnsi="Arial"/>
          <w:sz w:val="21"/>
          <w:szCs w:val="21"/>
          <w:b w:val="1"/>
          <w:bCs w:val="1"/>
          <w:color w:val="auto"/>
        </w:rPr>
        <w:t>R</w:t>
      </w:r>
      <w:r>
        <w:rPr>
          <w:rFonts w:ascii="Arial" w:cs="Arial" w:eastAsia="Arial" w:hAnsi="Arial"/>
          <w:sz w:val="14"/>
          <w:szCs w:val="14"/>
          <w:b w:val="1"/>
          <w:bCs w:val="1"/>
          <w:color w:val="auto"/>
        </w:rPr>
        <w:t>ETURN OF</w:t>
      </w:r>
      <w:r>
        <w:rPr>
          <w:rFonts w:ascii="Arial" w:cs="Arial" w:eastAsia="Arial" w:hAnsi="Arial"/>
          <w:sz w:val="21"/>
          <w:szCs w:val="21"/>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21"/>
          <w:szCs w:val="21"/>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21"/>
          <w:szCs w:val="21"/>
          <w:b w:val="1"/>
          <w:bCs w:val="1"/>
          <w:color w:val="auto"/>
        </w:rPr>
        <w:t xml:space="preserve">. </w:t>
      </w:r>
      <w:r>
        <w:rPr>
          <w:rFonts w:ascii="Arial" w:cs="Arial" w:eastAsia="Arial" w:hAnsi="Arial"/>
          <w:sz w:val="21"/>
          <w:szCs w:val="21"/>
          <w:color w:val="auto"/>
        </w:rPr>
        <w:t>By the Separation Date, you agree to return to the Company all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(and all copies thereof) and other Company property which you have in your possession or control, including, but not limited to, Company files, notes, drawings, records, plans, forecasts, reports, studies, analyses, proposals, agreements, financial information, research and development information, sales and marketing information, customer lists, prospect information, pipeline reports, sales reports, operational and personnel information, specifications, code, software, databases, computer-recorded information, tangible property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2" w:name="page143"/>
    <w:bookmarkEnd w:id="142"/>
    <w:p>
      <w:pPr>
        <w:jc w:val="both"/>
        <w:spacing w:after="0" w:line="245" w:lineRule="auto"/>
        <w:rPr>
          <w:sz w:val="20"/>
          <w:szCs w:val="20"/>
          <w:color w:val="auto"/>
        </w:rPr>
      </w:pPr>
      <w:r>
        <w:rPr>
          <w:rFonts w:ascii="Arial" w:cs="Arial" w:eastAsia="Arial" w:hAnsi="Arial"/>
          <w:sz w:val="21"/>
          <w:szCs w:val="21"/>
          <w:color w:val="auto"/>
        </w:rPr>
        <w:t>equipment (including, but not limited to, computers, printers, mobile telephones, servers), credit cards, entry cards, identification badges and keys; and any materials of any kind which contain or embody any proprietary or confidential information of the Company (and all reproductions thereof in whole or in part). If you have used any personally owned computer, server, or e-mail system to receive, store, review, prepare or transmit any Company confidential or proprietary data, materials or information, within five (5) business days after the Separation Date, you shall provide the Company with a computer usable copy of such information from those systems; and you agree to provide the Company access to your system as request to verify that the necessary copying and/or deletion is done. You agree that you will make a diligent search to locate any such documents, property and information by the Separation Date and your timely compliance with this paragraph is a condition precedent to your receipt of the Severance Benefits.</w:t>
      </w:r>
    </w:p>
    <w:p>
      <w:pPr>
        <w:spacing w:after="0" w:line="179" w:lineRule="exact"/>
        <w:rPr>
          <w:sz w:val="20"/>
          <w:szCs w:val="20"/>
          <w:color w:val="auto"/>
        </w:rPr>
      </w:pPr>
    </w:p>
    <w:p>
      <w:pPr>
        <w:jc w:val="both"/>
        <w:ind w:firstLine="872"/>
        <w:spacing w:after="0" w:line="258" w:lineRule="auto"/>
        <w:tabs>
          <w:tab w:leader="none" w:pos="1674"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ONFIDENTIALITY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provisions of this Agreement will be held in strictest confidence by you and will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publicized or disclosed in any manner whatsoever;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(a) you may disclose this Agreement to your immediate family; (b) you may disclose this Agreement in confidence to your attorneys, accountants, auditors, tax preparers, and financial advisors; (c) you may disclose this Agreement, and any other documents or information (without notice to the Company) when communicating with the Equal 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Arial" w:cs="Arial" w:eastAsia="Arial" w:hAnsi="Arial"/>
          <w:sz w:val="20"/>
          <w:szCs w:val="20"/>
          <w:b w:val="1"/>
          <w:bCs w:val="1"/>
          <w:i w:val="1"/>
          <w:iCs w:val="1"/>
          <w:color w:val="auto"/>
        </w:rPr>
        <w:t>Government Agencies</w:t>
      </w:r>
      <w:r>
        <w:rPr>
          <w:rFonts w:ascii="Arial" w:cs="Arial" w:eastAsia="Arial" w:hAnsi="Arial"/>
          <w:sz w:val="20"/>
          <w:szCs w:val="20"/>
          <w:color w:val="auto"/>
        </w:rPr>
        <w:t>”), or during the course of an investigation or proceeding that may be conducted by any Government Agency; and (d) you may disclose this Agreement insofar as such disclosure may be necessary to enforce its terms or as otherwise required by law. In particular, and without limitation, you agree not to disclose the terms of this Agreement to any current or former Company employee. Nothing in this provision or this Agreement is intended to prohibit or restrain you in any manner from making disclosures that are protected under the whistleblower provisions of federal or state law or regulation.</w:t>
      </w:r>
    </w:p>
    <w:p>
      <w:pPr>
        <w:spacing w:after="0" w:line="165" w:lineRule="exact"/>
        <w:rPr>
          <w:rFonts w:ascii="Arial" w:cs="Arial" w:eastAsia="Arial" w:hAnsi="Arial"/>
          <w:sz w:val="20"/>
          <w:szCs w:val="20"/>
          <w:b w:val="1"/>
          <w:bCs w:val="1"/>
          <w:color w:val="auto"/>
        </w:rPr>
      </w:pPr>
    </w:p>
    <w:p>
      <w:pPr>
        <w:jc w:val="both"/>
        <w:ind w:firstLine="872"/>
        <w:spacing w:after="0" w:line="259" w:lineRule="auto"/>
        <w:tabs>
          <w:tab w:leader="none" w:pos="1782"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V</w:t>
      </w:r>
      <w:r>
        <w:rPr>
          <w:rFonts w:ascii="Arial" w:cs="Arial" w:eastAsia="Arial" w:hAnsi="Arial"/>
          <w:sz w:val="13"/>
          <w:szCs w:val="13"/>
          <w:b w:val="1"/>
          <w:bCs w:val="1"/>
          <w:color w:val="auto"/>
        </w:rPr>
        <w:t>OLUNTARY</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DVERSE</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CTION</w:t>
      </w:r>
      <w:r>
        <w:rPr>
          <w:rFonts w:ascii="Arial" w:cs="Arial" w:eastAsia="Arial" w:hAnsi="Arial"/>
          <w:sz w:val="20"/>
          <w:szCs w:val="20"/>
          <w:b w:val="1"/>
          <w:bCs w:val="1"/>
          <w:color w:val="auto"/>
        </w:rPr>
        <w:t>; A</w:t>
      </w:r>
      <w:r>
        <w:rPr>
          <w:rFonts w:ascii="Arial" w:cs="Arial" w:eastAsia="Arial" w:hAnsi="Arial"/>
          <w:sz w:val="13"/>
          <w:szCs w:val="13"/>
          <w:b w:val="1"/>
          <w:bCs w:val="1"/>
          <w:color w:val="auto"/>
        </w:rPr>
        <w:t>ND</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OOPERATION</w:t>
      </w:r>
      <w:r>
        <w:rPr>
          <w:rFonts w:ascii="Arial" w:cs="Arial" w:eastAsia="Arial" w:hAnsi="Arial"/>
          <w:sz w:val="20"/>
          <w:szCs w:val="20"/>
          <w:b w:val="1"/>
          <w:bCs w:val="1"/>
          <w:color w:val="auto"/>
        </w:rPr>
        <w:t xml:space="preserve">. </w:t>
      </w:r>
      <w:r>
        <w:rPr>
          <w:rFonts w:ascii="Arial" w:cs="Arial" w:eastAsia="Arial" w:hAnsi="Arial"/>
          <w:sz w:val="20"/>
          <w:szCs w:val="20"/>
          <w:color w:val="auto"/>
        </w:rPr>
        <w:t>You agree that you will not voluntarily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assistance, information or advice, directly or indirectly (including through agents or attorneys), to any person or entity in connection with any proposed or pending litigation, arbitration, administrative claim, cause of action, or other formal proceeding of any kind brought against the Company, its parent or subsidiary entities, affiliates, officers, directors, employees or agents, nor shall you induce or encourage any person or entity to bring any such claims; provided that you may respond accurately and fully to any question, inquiry or request for information when required by legal process (e.g., a valid subpoena or other similar compulsion of law) or as part of a government investigation. In addition, you agree to voluntarily cooperate with the Company if you have knowledge of facts relevant to any existing or future litigation or arbitration initiated by or filed against the Company by making yourself reasonably available without further compensation for interviews with the Company or its legal counsel, for preparing for and providing deposition testimony, and for preparing for and providing trial testimony.</w:t>
      </w:r>
    </w:p>
    <w:p>
      <w:pPr>
        <w:spacing w:after="0" w:line="164" w:lineRule="exact"/>
        <w:rPr>
          <w:rFonts w:ascii="Arial" w:cs="Arial" w:eastAsia="Arial" w:hAnsi="Arial"/>
          <w:sz w:val="20"/>
          <w:szCs w:val="20"/>
          <w:b w:val="1"/>
          <w:bCs w:val="1"/>
          <w:color w:val="auto"/>
        </w:rPr>
      </w:pPr>
    </w:p>
    <w:p>
      <w:pPr>
        <w:ind w:firstLine="872"/>
        <w:spacing w:after="0" w:line="306" w:lineRule="auto"/>
        <w:tabs>
          <w:tab w:leader="none" w:pos="1770"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DMISSIONS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promises and payments in consideration of this Agreement shall not be construed to be</w:t>
      </w:r>
      <w:r>
        <w:rPr>
          <w:rFonts w:ascii="Arial" w:cs="Arial" w:eastAsia="Arial" w:hAnsi="Arial"/>
          <w:sz w:val="20"/>
          <w:szCs w:val="20"/>
          <w:b w:val="1"/>
          <w:bCs w:val="1"/>
          <w:color w:val="auto"/>
        </w:rPr>
        <w:t xml:space="preserve"> </w:t>
      </w:r>
      <w:r>
        <w:rPr>
          <w:rFonts w:ascii="Arial" w:cs="Arial" w:eastAsia="Arial" w:hAnsi="Arial"/>
          <w:sz w:val="20"/>
          <w:szCs w:val="20"/>
          <w:color w:val="auto"/>
        </w:rPr>
        <w:t>an admission of any liability or obligation by either party to the other party, and neither party makes any such admission.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ind w:left="1780" w:hanging="908"/>
        <w:spacing w:after="0"/>
        <w:tabs>
          <w:tab w:leader="none" w:pos="178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ELEASE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LAIMS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1520"/>
        <w:spacing w:after="0" w:line="235" w:lineRule="auto"/>
        <w:tabs>
          <w:tab w:leader="none" w:pos="2411" w:val="left"/>
        </w:tabs>
        <w:numPr>
          <w:ilvl w:val="1"/>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General Release. </w:t>
      </w:r>
      <w:r>
        <w:rPr>
          <w:rFonts w:ascii="Arial" w:cs="Arial" w:eastAsia="Arial" w:hAnsi="Arial"/>
          <w:sz w:val="22"/>
          <w:szCs w:val="22"/>
          <w:color w:val="auto"/>
        </w:rPr>
        <w:t>In exchange for the consideration provided to you under this Agreement to which</w:t>
      </w:r>
      <w:r>
        <w:rPr>
          <w:rFonts w:ascii="Arial" w:cs="Arial" w:eastAsia="Arial" w:hAnsi="Arial"/>
          <w:sz w:val="22"/>
          <w:szCs w:val="22"/>
          <w:b w:val="1"/>
          <w:bCs w:val="1"/>
          <w:color w:val="auto"/>
        </w:rPr>
        <w:t xml:space="preserve"> </w:t>
      </w:r>
      <w:r>
        <w:rPr>
          <w:rFonts w:ascii="Arial" w:cs="Arial" w:eastAsia="Arial" w:hAnsi="Arial"/>
          <w:sz w:val="22"/>
          <w:szCs w:val="22"/>
          <w:color w:val="auto"/>
        </w:rPr>
        <w:t>you would not otherwise be entitled, including the benefits provided by the Transition Period, you hereby generally and completely release the Company, and its affiliated, related, parent and subsidiary entities, and its and their current and former directors, officers, employees, shareholders, partners, agents, attorneys, predecessors, successors, insurers, affiliates, and assigns (collectively, the “</w:t>
      </w:r>
      <w:r>
        <w:rPr>
          <w:rFonts w:ascii="Arial" w:cs="Arial" w:eastAsia="Arial" w:hAnsi="Arial"/>
          <w:sz w:val="22"/>
          <w:szCs w:val="22"/>
          <w:b w:val="1"/>
          <w:bCs w:val="1"/>
          <w:i w:val="1"/>
          <w:iCs w:val="1"/>
          <w:color w:val="auto"/>
        </w:rPr>
        <w:t>Released Parties</w:t>
      </w:r>
      <w:r>
        <w:rPr>
          <w:rFonts w:ascii="Arial" w:cs="Arial" w:eastAsia="Arial" w:hAnsi="Arial"/>
          <w:sz w:val="22"/>
          <w:szCs w:val="22"/>
          <w:color w:val="auto"/>
        </w:rPr>
        <w:t>”) from any and all claims, liabilities and obligations, both known and unknown, that arise out of or are in any way related to events, acts, conduct, or omissions occurring prior to or on the date you sign this Agreement (collectively, the “</w:t>
      </w:r>
      <w:r>
        <w:rPr>
          <w:rFonts w:ascii="Arial" w:cs="Arial" w:eastAsia="Arial" w:hAnsi="Arial"/>
          <w:sz w:val="22"/>
          <w:szCs w:val="22"/>
          <w:b w:val="1"/>
          <w:bCs w:val="1"/>
          <w:i w:val="1"/>
          <w:iCs w:val="1"/>
          <w:color w:val="auto"/>
        </w:rPr>
        <w:t>Released Claims</w:t>
      </w:r>
      <w:r>
        <w:rPr>
          <w:rFonts w:ascii="Arial" w:cs="Arial" w:eastAsia="Arial" w:hAnsi="Arial"/>
          <w:sz w:val="22"/>
          <w:szCs w:val="22"/>
          <w:color w:val="auto"/>
        </w:rPr>
        <w:t>”).</w:t>
      </w:r>
    </w:p>
    <w:p>
      <w:pPr>
        <w:spacing w:after="0" w:line="183" w:lineRule="exact"/>
        <w:rPr>
          <w:rFonts w:ascii="Arial" w:cs="Arial" w:eastAsia="Arial" w:hAnsi="Arial"/>
          <w:sz w:val="22"/>
          <w:szCs w:val="22"/>
          <w:b w:val="1"/>
          <w:bCs w:val="1"/>
          <w:color w:val="auto"/>
        </w:rPr>
      </w:pPr>
    </w:p>
    <w:p>
      <w:pPr>
        <w:jc w:val="both"/>
        <w:ind w:firstLine="1520"/>
        <w:spacing w:after="0" w:line="274" w:lineRule="auto"/>
        <w:tabs>
          <w:tab w:leader="none" w:pos="2423" w:val="left"/>
        </w:tabs>
        <w:numPr>
          <w:ilvl w:val="1"/>
          <w:numId w:val="1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Scope of Release. </w:t>
      </w:r>
      <w:r>
        <w:rPr>
          <w:rFonts w:ascii="Arial" w:cs="Arial" w:eastAsia="Arial" w:hAnsi="Arial"/>
          <w:sz w:val="19"/>
          <w:szCs w:val="19"/>
          <w:color w:val="auto"/>
        </w:rPr>
        <w:t>The Released Claims include, but are not limited to: (i) all claims arising out of</w:t>
      </w:r>
      <w:r>
        <w:rPr>
          <w:rFonts w:ascii="Arial" w:cs="Arial" w:eastAsia="Arial" w:hAnsi="Arial"/>
          <w:sz w:val="19"/>
          <w:szCs w:val="19"/>
          <w:b w:val="1"/>
          <w:bCs w:val="1"/>
          <w:color w:val="auto"/>
        </w:rPr>
        <w:t xml:space="preserve"> </w:t>
      </w:r>
      <w:r>
        <w:rPr>
          <w:rFonts w:ascii="Arial" w:cs="Arial" w:eastAsia="Arial" w:hAnsi="Arial"/>
          <w:sz w:val="19"/>
          <w:szCs w:val="19"/>
          <w:color w:val="auto"/>
        </w:rPr>
        <w:t>or in any way related to your employment with the Company, or the termination of that employment; (ii) all claims related to your compensation or benefits from the Company, including salary, bonuses, commissions, vacation, paid time off,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(the “</w:t>
      </w:r>
      <w:r>
        <w:rPr>
          <w:rFonts w:ascii="Arial" w:cs="Arial" w:eastAsia="Arial" w:hAnsi="Arial"/>
          <w:sz w:val="19"/>
          <w:szCs w:val="19"/>
          <w:b w:val="1"/>
          <w:bCs w:val="1"/>
          <w:i w:val="1"/>
          <w:iCs w:val="1"/>
          <w:color w:val="auto"/>
        </w:rPr>
        <w:t>ADEA</w:t>
      </w:r>
      <w:r>
        <w:rPr>
          <w:rFonts w:ascii="Arial" w:cs="Arial" w:eastAsia="Arial" w:hAnsi="Arial"/>
          <w:sz w:val="19"/>
          <w:szCs w:val="19"/>
          <w:color w:val="auto"/>
        </w:rPr>
        <w:t>”), the California Labor Code (as amended) and the California Fair Employment and Housing Act (as amended).</w:t>
      </w:r>
    </w:p>
    <w:p>
      <w:pPr>
        <w:spacing w:after="0" w:line="151" w:lineRule="exact"/>
        <w:rPr>
          <w:rFonts w:ascii="Arial" w:cs="Arial" w:eastAsia="Arial" w:hAnsi="Arial"/>
          <w:sz w:val="19"/>
          <w:szCs w:val="19"/>
          <w:b w:val="1"/>
          <w:bCs w:val="1"/>
          <w:color w:val="auto"/>
        </w:rPr>
      </w:pPr>
    </w:p>
    <w:p>
      <w:pPr>
        <w:jc w:val="both"/>
        <w:ind w:firstLine="1735"/>
        <w:spacing w:after="0" w:line="275" w:lineRule="auto"/>
        <w:tabs>
          <w:tab w:leader="none" w:pos="2615" w:val="left"/>
        </w:tabs>
        <w:numPr>
          <w:ilvl w:val="2"/>
          <w:numId w:val="1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ADEA Waiver. </w:t>
      </w:r>
      <w:r>
        <w:rPr>
          <w:rFonts w:ascii="Arial" w:cs="Arial" w:eastAsia="Arial" w:hAnsi="Arial"/>
          <w:sz w:val="19"/>
          <w:szCs w:val="19"/>
          <w:color w:val="auto"/>
        </w:rPr>
        <w:t>You acknowledge that you are knowingly and voluntarily waiving and releasing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(i) your waiver and release does not apply to any rights or claims that arise after the date you sign this Agreement; (ii) you should consult with an attorney prior to signing this Agreement (although you may choose voluntarily not to do so); (iii) you have twenty-one (21) days to consider this Agreement (although you may choose voluntarily to sign it sooner); (iv) you have seven (7) days following the date you sign this Agreement to revoke this Agreement (in a written revocation sent to me); and (v) this Agreement will not be effective until the date upon which the revocation period has expired, which will be the eighth day after you sign this Agreement provided that you do not revoke it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4" w:name="page145"/>
    <w:bookmarkEnd w:id="144"/>
    <w:p>
      <w:pPr>
        <w:jc w:val="both"/>
        <w:ind w:firstLine="1735"/>
        <w:spacing w:after="0" w:line="278" w:lineRule="auto"/>
        <w:tabs>
          <w:tab w:leader="none" w:pos="2707" w:val="left"/>
        </w:tabs>
        <w:numPr>
          <w:ilvl w:val="1"/>
          <w:numId w:val="1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Waiver of Unknown Claims. </w:t>
      </w:r>
      <w:r>
        <w:rPr>
          <w:rFonts w:ascii="Arial" w:cs="Arial" w:eastAsia="Arial" w:hAnsi="Arial"/>
          <w:sz w:val="19"/>
          <w:szCs w:val="19"/>
          <w:color w:val="auto"/>
        </w:rPr>
        <w:t>In giving the releases set forth in this Agreement, which include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claims which may be unknown to you at present, you acknowledge that you have read and understand Section 1542 of the California Civil Code which reads as follows: </w:t>
      </w:r>
      <w:r>
        <w:rPr>
          <w:rFonts w:ascii="Arial" w:cs="Arial" w:eastAsia="Arial" w:hAnsi="Arial"/>
          <w:sz w:val="19"/>
          <w:szCs w:val="19"/>
          <w:b w:val="1"/>
          <w:bCs w:val="1"/>
          <w:color w:val="auto"/>
        </w:rPr>
        <w:t>“A general release does not extend to claims that the creditor or releasing</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19"/>
          <w:szCs w:val="19"/>
          <w:color w:val="auto"/>
        </w:rPr>
        <w:t>You hereby expressly waive</w:t>
      </w:r>
      <w:r>
        <w:rPr>
          <w:rFonts w:ascii="Arial" w:cs="Arial" w:eastAsia="Arial" w:hAnsi="Arial"/>
          <w:sz w:val="19"/>
          <w:szCs w:val="19"/>
          <w:b w:val="1"/>
          <w:bCs w:val="1"/>
          <w:color w:val="auto"/>
        </w:rPr>
        <w:t xml:space="preserve"> </w:t>
      </w:r>
      <w:r>
        <w:rPr>
          <w:rFonts w:ascii="Arial" w:cs="Arial" w:eastAsia="Arial" w:hAnsi="Arial"/>
          <w:sz w:val="19"/>
          <w:szCs w:val="19"/>
          <w:color w:val="auto"/>
        </w:rPr>
        <w:t>and relinquish all rights and benefits under that section and any law or legal principle of similar effect in any jurisdiction with respect to your release of claims herein, including but not limited to the release of unknown and unsuspected claims.</w:t>
      </w:r>
    </w:p>
    <w:p>
      <w:pPr>
        <w:spacing w:after="0" w:line="145" w:lineRule="exact"/>
        <w:rPr>
          <w:rFonts w:ascii="Arial" w:cs="Arial" w:eastAsia="Arial" w:hAnsi="Arial"/>
          <w:sz w:val="19"/>
          <w:szCs w:val="19"/>
          <w:b w:val="1"/>
          <w:bCs w:val="1"/>
          <w:color w:val="auto"/>
        </w:rPr>
      </w:pPr>
    </w:p>
    <w:p>
      <w:pPr>
        <w:jc w:val="both"/>
        <w:ind w:firstLine="1735"/>
        <w:spacing w:after="0" w:line="245" w:lineRule="auto"/>
        <w:tabs>
          <w:tab w:leader="none" w:pos="2615" w:val="left"/>
        </w:tabs>
        <w:numPr>
          <w:ilvl w:val="1"/>
          <w:numId w:val="14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Excluded Claims. </w:t>
      </w:r>
      <w:r>
        <w:rPr>
          <w:rFonts w:ascii="Arial" w:cs="Arial" w:eastAsia="Arial" w:hAnsi="Arial"/>
          <w:sz w:val="21"/>
          <w:szCs w:val="21"/>
          <w:color w:val="auto"/>
        </w:rPr>
        <w:t>Notwithstanding the foregoing, the following are not included in the Released</w:t>
      </w:r>
      <w:r>
        <w:rPr>
          <w:rFonts w:ascii="Arial" w:cs="Arial" w:eastAsia="Arial" w:hAnsi="Arial"/>
          <w:sz w:val="21"/>
          <w:szCs w:val="21"/>
          <w:b w:val="1"/>
          <w:bCs w:val="1"/>
          <w:color w:val="auto"/>
        </w:rPr>
        <w:t xml:space="preserve"> </w:t>
      </w:r>
      <w:r>
        <w:rPr>
          <w:rFonts w:ascii="Arial" w:cs="Arial" w:eastAsia="Arial" w:hAnsi="Arial"/>
          <w:sz w:val="21"/>
          <w:szCs w:val="21"/>
          <w:color w:val="auto"/>
        </w:rPr>
        <w:t>Claims (the “</w:t>
      </w:r>
      <w:r>
        <w:rPr>
          <w:rFonts w:ascii="Arial" w:cs="Arial" w:eastAsia="Arial" w:hAnsi="Arial"/>
          <w:sz w:val="21"/>
          <w:szCs w:val="21"/>
          <w:b w:val="1"/>
          <w:bCs w:val="1"/>
          <w:i w:val="1"/>
          <w:iCs w:val="1"/>
          <w:color w:val="auto"/>
        </w:rPr>
        <w:t>Excluded Claims</w:t>
      </w:r>
      <w:r>
        <w:rPr>
          <w:rFonts w:ascii="Arial" w:cs="Arial" w:eastAsia="Arial" w:hAnsi="Arial"/>
          <w:sz w:val="21"/>
          <w:szCs w:val="21"/>
          <w:color w:val="auto"/>
        </w:rPr>
        <w:t>”): (i) any rights or claims for indemnification you may have pursuant to any written indemnification agreement with the Company to which you are a party or under applicable law; (ii) any rights that cannot be waived as a matter of law; (iii) any rights you have to file or pursue a claim for workers’ compensation or unemployment insurance; and (iv) any claims for breach of this Agreement. You hereby represent and warrant that, other than the Excluded Claims, you are not aware of any claims you have or might have against any of the Released Parties that are not included in the Released Claims. You understand that nothing in this Agreement limits your ability to file a charge or complaint with any Government Agency.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w:t>
      </w:r>
    </w:p>
    <w:p>
      <w:pPr>
        <w:spacing w:after="0" w:line="177" w:lineRule="exact"/>
        <w:rPr>
          <w:rFonts w:ascii="Arial" w:cs="Arial" w:eastAsia="Arial" w:hAnsi="Arial"/>
          <w:sz w:val="21"/>
          <w:szCs w:val="21"/>
          <w:b w:val="1"/>
          <w:bCs w:val="1"/>
          <w:color w:val="auto"/>
        </w:rPr>
      </w:pPr>
    </w:p>
    <w:p>
      <w:pPr>
        <w:jc w:val="both"/>
        <w:ind w:right="20" w:firstLine="872"/>
        <w:spacing w:after="0" w:line="239" w:lineRule="auto"/>
        <w:tabs>
          <w:tab w:leader="none" w:pos="1782"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EPRESENTATIONS</w:t>
      </w:r>
      <w:r>
        <w:rPr>
          <w:rFonts w:ascii="Arial" w:cs="Arial" w:eastAsia="Arial" w:hAnsi="Arial"/>
          <w:sz w:val="22"/>
          <w:szCs w:val="22"/>
          <w:b w:val="1"/>
          <w:bCs w:val="1"/>
          <w:color w:val="auto"/>
        </w:rPr>
        <w:t xml:space="preserve">. </w:t>
      </w:r>
      <w:r>
        <w:rPr>
          <w:rFonts w:ascii="Arial" w:cs="Arial" w:eastAsia="Arial" w:hAnsi="Arial"/>
          <w:sz w:val="22"/>
          <w:szCs w:val="22"/>
          <w:color w:val="auto"/>
        </w:rPr>
        <w:t>You hereby represent that you have been paid all compensation owed and for all hours</w:t>
      </w:r>
      <w:r>
        <w:rPr>
          <w:rFonts w:ascii="Arial" w:cs="Arial" w:eastAsia="Arial" w:hAnsi="Arial"/>
          <w:sz w:val="22"/>
          <w:szCs w:val="22"/>
          <w:b w:val="1"/>
          <w:bCs w:val="1"/>
          <w:color w:val="auto"/>
        </w:rPr>
        <w:t xml:space="preserve"> </w:t>
      </w:r>
      <w:r>
        <w:rPr>
          <w:rFonts w:ascii="Arial" w:cs="Arial" w:eastAsia="Arial" w:hAnsi="Arial"/>
          <w:sz w:val="22"/>
          <w:szCs w:val="22"/>
          <w:color w:val="auto"/>
        </w:rPr>
        <w:t>worked, you have received all the leave and leave benefits and protections for which you are eligible pursuant to the federal Family and Medical Leave Act, the California Family Rights Act, or otherwise, and you have not suffered any on-the-job injury for which you have not already filed a workers’ compensation claim.</w:t>
      </w:r>
    </w:p>
    <w:p>
      <w:pPr>
        <w:spacing w:after="0" w:line="180" w:lineRule="exact"/>
        <w:rPr>
          <w:rFonts w:ascii="Arial" w:cs="Arial" w:eastAsia="Arial" w:hAnsi="Arial"/>
          <w:sz w:val="22"/>
          <w:szCs w:val="22"/>
          <w:b w:val="1"/>
          <w:bCs w:val="1"/>
          <w:color w:val="auto"/>
        </w:rPr>
      </w:pPr>
    </w:p>
    <w:p>
      <w:pPr>
        <w:jc w:val="both"/>
        <w:ind w:firstLine="872"/>
        <w:spacing w:after="0" w:line="239" w:lineRule="auto"/>
        <w:tabs>
          <w:tab w:leader="none" w:pos="1782"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ISPUTE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ESOLUTION</w:t>
      </w:r>
      <w:r>
        <w:rPr>
          <w:rFonts w:ascii="Arial" w:cs="Arial" w:eastAsia="Arial" w:hAnsi="Arial"/>
          <w:sz w:val="22"/>
          <w:szCs w:val="22"/>
          <w:b w:val="1"/>
          <w:bCs w:val="1"/>
          <w:color w:val="auto"/>
        </w:rPr>
        <w:t xml:space="preserve">. </w:t>
      </w:r>
      <w:r>
        <w:rPr>
          <w:rFonts w:ascii="Arial" w:cs="Arial" w:eastAsia="Arial" w:hAnsi="Arial"/>
          <w:sz w:val="22"/>
          <w:szCs w:val="22"/>
          <w:color w:val="auto"/>
        </w:rPr>
        <w:t>You acknowledge and agree that any claims arising from this Agreement or its</w:t>
      </w:r>
      <w:r>
        <w:rPr>
          <w:rFonts w:ascii="Arial" w:cs="Arial" w:eastAsia="Arial" w:hAnsi="Arial"/>
          <w:sz w:val="22"/>
          <w:szCs w:val="22"/>
          <w:b w:val="1"/>
          <w:bCs w:val="1"/>
          <w:color w:val="auto"/>
        </w:rPr>
        <w:t xml:space="preserve"> </w:t>
      </w:r>
      <w:r>
        <w:rPr>
          <w:rFonts w:ascii="Arial" w:cs="Arial" w:eastAsia="Arial" w:hAnsi="Arial"/>
          <w:sz w:val="22"/>
          <w:szCs w:val="22"/>
          <w:color w:val="auto"/>
        </w:rPr>
        <w:t>exhibits shall be subject to final and binding arbitration pursuant to the FibroGen Arbitration Agreement entered into between you and the Company dated December 16, 2019 (the “</w:t>
      </w:r>
      <w:r>
        <w:rPr>
          <w:rFonts w:ascii="Arial" w:cs="Arial" w:eastAsia="Arial" w:hAnsi="Arial"/>
          <w:sz w:val="22"/>
          <w:szCs w:val="22"/>
          <w:b w:val="1"/>
          <w:bCs w:val="1"/>
          <w:i w:val="1"/>
          <w:iCs w:val="1"/>
          <w:color w:val="auto"/>
        </w:rPr>
        <w:t>Arbitration Agreement</w:t>
      </w:r>
      <w:r>
        <w:rPr>
          <w:rFonts w:ascii="Arial" w:cs="Arial" w:eastAsia="Arial" w:hAnsi="Arial"/>
          <w:sz w:val="22"/>
          <w:szCs w:val="22"/>
          <w:color w:val="auto"/>
        </w:rPr>
        <w:t>”), which is hereby incorporated herein by reference.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5" w:name="page146"/>
    <w:bookmarkEnd w:id="145"/>
    <w:p>
      <w:pPr>
        <w:jc w:val="both"/>
        <w:ind w:firstLine="872"/>
        <w:spacing w:after="0" w:line="257" w:lineRule="auto"/>
        <w:tabs>
          <w:tab w:leader="none" w:pos="1782" w:val="left"/>
        </w:tabs>
        <w:numPr>
          <w:ilvl w:val="0"/>
          <w:numId w:val="151"/>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color w:val="auto"/>
        </w:rPr>
        <w:t>. This Agreement, together with its exhibits, constitutes the complete, final and exclusive</w:t>
      </w:r>
      <w:r>
        <w:rPr>
          <w:rFonts w:ascii="Arial" w:cs="Arial" w:eastAsia="Arial" w:hAnsi="Arial"/>
          <w:sz w:val="20"/>
          <w:szCs w:val="20"/>
          <w:b w:val="1"/>
          <w:bCs w:val="1"/>
          <w:color w:val="auto"/>
        </w:rPr>
        <w:t xml:space="preserve"> </w:t>
      </w:r>
      <w:r>
        <w:rPr>
          <w:rFonts w:ascii="Arial" w:cs="Arial" w:eastAsia="Arial" w:hAnsi="Arial"/>
          <w:sz w:val="20"/>
          <w:szCs w:val="20"/>
          <w:color w:val="auto"/>
        </w:rPr>
        <w:t>embodiment of the entire agreement between you and the Company with regard to the subject matter hereof. It is entered into without reliance on any promise or representation, written or oral, other than those expressly contained herein, and it supersedes any other agreements, promises, warranties or representations concerning its subject matter, including, without limitation, the Severance Agreement and the Arbitration Agreement.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Any ambiguity in this Agreement shall not be construed against either party as the drafter. Any waiver of a breach of this Agreement, or rights hereunder, shall be in writing and shall not be deemed to be a waiver of any successive breach or rights hereunder. This Agreement will be deemed to have been entered into and will be construed and enforced in accordance with the laws of the State of California, as applied to contracts made and to be performed entirely within California, without regard to conflicts of law principles.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may be executed in counterparts which shall be deemed to be part of one original, and facsimile and electronic signatures shall be equivalent to original signatures.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6" w:name="page147"/>
    <w:bookmarkEnd w:id="146"/>
    <w:p>
      <w:pPr>
        <w:jc w:val="both"/>
        <w:spacing w:after="0"/>
        <w:rPr>
          <w:sz w:val="20"/>
          <w:szCs w:val="20"/>
          <w:color w:val="auto"/>
        </w:rPr>
      </w:pPr>
      <w:r>
        <w:rPr>
          <w:rFonts w:ascii="Arial" w:cs="Arial" w:eastAsia="Arial" w:hAnsi="Arial"/>
          <w:sz w:val="22"/>
          <w:szCs w:val="22"/>
          <w:color w:val="auto"/>
        </w:rPr>
        <w:t>If this Agreement is acceptable to you, please sign and date below within twenty-one (21) days, and send me the fully signed Agreement. The Company’s offer contained herein will automatically expire if we do not receive the fully signed Agreement within this timeframe.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We wish you the best in your future endeavors.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IBRO</w:t>
      </w:r>
      <w:r>
        <w:rPr>
          <w:rFonts w:ascii="Arial" w:cs="Arial" w:eastAsia="Arial" w:hAnsi="Arial"/>
          <w:sz w:val="22"/>
          <w:szCs w:val="22"/>
          <w:b w:val="1"/>
          <w:bCs w:val="1"/>
          <w:color w:val="auto"/>
        </w:rPr>
        <w:t>G</w:t>
      </w:r>
      <w:r>
        <w:rPr>
          <w:rFonts w:ascii="Arial" w:cs="Arial" w:eastAsia="Arial" w:hAnsi="Arial"/>
          <w:sz w:val="14"/>
          <w:szCs w:val="14"/>
          <w:b w:val="1"/>
          <w:bCs w:val="1"/>
          <w:color w:val="auto"/>
        </w:rPr>
        <w:t>EN</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Enrique Conterno</w:t>
      </w:r>
    </w:p>
    <w:p>
      <w:pPr>
        <w:ind w:left="3240"/>
        <w:spacing w:after="0" w:line="238" w:lineRule="auto"/>
        <w:rPr>
          <w:sz w:val="20"/>
          <w:szCs w:val="20"/>
          <w:color w:val="auto"/>
        </w:rPr>
      </w:pPr>
      <w:r>
        <w:rPr>
          <w:rFonts w:ascii="Arial" w:cs="Arial" w:eastAsia="Arial" w:hAnsi="Arial"/>
          <w:sz w:val="22"/>
          <w:szCs w:val="22"/>
          <w:color w:val="auto"/>
        </w:rPr>
        <w:t>Enrique Conterno</w:t>
      </w:r>
    </w:p>
    <w:p>
      <w:pPr>
        <w:ind w:left="880"/>
        <w:spacing w:after="0"/>
        <w:rPr>
          <w:sz w:val="20"/>
          <w:szCs w:val="20"/>
          <w:color w:val="auto"/>
        </w:rPr>
      </w:pPr>
      <w:r>
        <w:rPr>
          <w:rFonts w:ascii="Arial" w:cs="Arial" w:eastAsia="Arial" w:hAnsi="Arial"/>
          <w:sz w:val="22"/>
          <w:szCs w:val="22"/>
          <w:color w:val="auto"/>
        </w:rPr>
        <w:t>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 Confidential Information, Secrecy and Inventions Agreement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 Separation Date Release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NDERSTOOD</w:t>
      </w:r>
      <w:r>
        <w:rPr>
          <w:rFonts w:ascii="Arial" w:cs="Arial" w:eastAsia="Arial" w:hAnsi="Arial"/>
          <w:sz w:val="22"/>
          <w:szCs w:val="22"/>
          <w:b w:val="1"/>
          <w:bCs w:val="1"/>
          <w:color w:val="auto"/>
        </w:rPr>
        <w:t>, A</w:t>
      </w:r>
      <w:r>
        <w:rPr>
          <w:rFonts w:ascii="Arial" w:cs="Arial" w:eastAsia="Arial" w:hAnsi="Arial"/>
          <w:sz w:val="14"/>
          <w:szCs w:val="14"/>
          <w:b w:val="1"/>
          <w:bCs w:val="1"/>
          <w:color w:val="auto"/>
        </w:rPr>
        <w:t>CCEPTED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GREED</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Pat Cotroneo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 Cotroneo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8/14/2021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A</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CONFIDENTIAL INFORMATION, SECRECY, AND INVENTIONS AGREEMENT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199390</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48" w:name="page149"/>
    <w:bookmarkEnd w:id="148"/>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B</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SEPARATION DATE RELEASE</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(To be signed and returned to the Company on or within twenty-one (21) days after a Separation Date occurring prior to March</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31, 2022)</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exchange for the consideration to be provided to me pursuant to that certain letter transition agreement between me and FibroGen,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dated August 11, 2021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 hereby provide the following Separation Date Release. Capitalized terms used but not defined herein shall have the meanings ascribed to them in the Agreement.</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 hereby represent that: (i) I have been paid all compensation owed and have been paid for all hours worked for the Company through the Separation Date; (ii) I have received all the leave and leave benefits and protections for which I am eligible pursuant to the federal Family and Medical Leave Act or otherwise; and (iii) I have not suffered any on-the-job injury for which I have not already filed a claim.</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 hereby generally and completely release the Company, and its affiliated, related, parent and subsidiary entities, and its and their current and former directors, officers, employees, shareholders, partners, agents, attorneys, predecessors, successors, insurers, affiliates, and assigns (collectively, the “</w:t>
      </w:r>
      <w:r>
        <w:rPr>
          <w:rFonts w:ascii="Arial" w:cs="Arial" w:eastAsia="Arial" w:hAnsi="Arial"/>
          <w:sz w:val="21"/>
          <w:szCs w:val="21"/>
          <w:b w:val="1"/>
          <w:bCs w:val="1"/>
          <w:i w:val="1"/>
          <w:iCs w:val="1"/>
          <w:color w:val="auto"/>
        </w:rPr>
        <w:t>Released Parties</w:t>
      </w:r>
      <w:r>
        <w:rPr>
          <w:rFonts w:ascii="Arial" w:cs="Arial" w:eastAsia="Arial" w:hAnsi="Arial"/>
          <w:sz w:val="21"/>
          <w:szCs w:val="21"/>
          <w:color w:val="auto"/>
        </w:rPr>
        <w:t>”) from any and all claims, liabilities and obligations, both known and unknown, that arise out of or are in any way related to events, acts, conduct, or omissions occurring prior to or on the date I sign this Agreement (collectively, the “</w:t>
      </w:r>
      <w:r>
        <w:rPr>
          <w:rFonts w:ascii="Arial" w:cs="Arial" w:eastAsia="Arial" w:hAnsi="Arial"/>
          <w:sz w:val="21"/>
          <w:szCs w:val="21"/>
          <w:b w:val="1"/>
          <w:bCs w:val="1"/>
          <w:i w:val="1"/>
          <w:iCs w:val="1"/>
          <w:color w:val="auto"/>
        </w:rPr>
        <w:t>Released Claims</w:t>
      </w:r>
      <w:r>
        <w:rPr>
          <w:rFonts w:ascii="Arial" w:cs="Arial" w:eastAsia="Arial" w:hAnsi="Arial"/>
          <w:sz w:val="21"/>
          <w:szCs w:val="21"/>
          <w:color w:val="auto"/>
        </w:rPr>
        <w:t>”).</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Released Claims include, but are not limited to: (i) all claims arising out of or in any way related to my employment with the Company, or the termination of that employment; (ii) all claims related to my compensation or benefits from the Company, including salary, bonuses, commissions, vacation,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(the “</w:t>
      </w:r>
      <w:r>
        <w:rPr>
          <w:rFonts w:ascii="Arial" w:cs="Arial" w:eastAsia="Arial" w:hAnsi="Arial"/>
          <w:sz w:val="19"/>
          <w:szCs w:val="19"/>
          <w:b w:val="1"/>
          <w:bCs w:val="1"/>
          <w:i w:val="1"/>
          <w:iCs w:val="1"/>
          <w:color w:val="auto"/>
        </w:rPr>
        <w:t>ADEA</w:t>
      </w:r>
      <w:r>
        <w:rPr>
          <w:rFonts w:ascii="Arial" w:cs="Arial" w:eastAsia="Arial" w:hAnsi="Arial"/>
          <w:sz w:val="19"/>
          <w:szCs w:val="19"/>
          <w:color w:val="auto"/>
        </w:rPr>
        <w:t>”), the California Labor Code (as amended), the California Fair Employment and Housing Act (as amended), and any other laws, statutes, or regulations of the state in which I reside and/or work.</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 acknowledge that I am are knowingly and voluntarily waiving and releasing any rights I may have under the ADEA (the “</w:t>
      </w:r>
      <w:r>
        <w:rPr>
          <w:rFonts w:ascii="Arial" w:cs="Arial" w:eastAsia="Arial" w:hAnsi="Arial"/>
          <w:sz w:val="22"/>
          <w:szCs w:val="22"/>
          <w:b w:val="1"/>
          <w:bCs w:val="1"/>
          <w:i w:val="1"/>
          <w:iCs w:val="1"/>
          <w:color w:val="auto"/>
        </w:rPr>
        <w:t>Release ADEA Waiver</w:t>
      </w:r>
      <w:r>
        <w:rPr>
          <w:rFonts w:ascii="Arial" w:cs="Arial" w:eastAsia="Arial" w:hAnsi="Arial"/>
          <w:sz w:val="22"/>
          <w:szCs w:val="22"/>
          <w:color w:val="auto"/>
        </w:rPr>
        <w:t>”). I also acknowledge that the consideration given for this waiver is in addition to anything of value to which I was already entitled. I further acknowledge that I have been advised by this writing, as required by the ADEA, that: (a) this waiver does not apply to any rights or claims that arise after the date I sign this Separation Date Release; (b) I should consult with an attorney prior to signing this Separation Date Release; (c) 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9" w:name="page150"/>
    <w:bookmarkEnd w:id="149"/>
    <w:p>
      <w:pPr>
        <w:jc w:val="both"/>
        <w:spacing w:after="0" w:line="252" w:lineRule="auto"/>
        <w:rPr>
          <w:sz w:val="20"/>
          <w:szCs w:val="20"/>
          <w:color w:val="auto"/>
        </w:rPr>
      </w:pPr>
      <w:r>
        <w:rPr>
          <w:rFonts w:ascii="Arial" w:cs="Arial" w:eastAsia="Arial" w:hAnsi="Arial"/>
          <w:sz w:val="21"/>
          <w:szCs w:val="21"/>
          <w:color w:val="auto"/>
        </w:rPr>
        <w:t>have had twenty-one (21) days to consider this Separation Date Release; (d) I have seven (7) days following the date I sign this Separation Date Release to revoke (in a written revocation sent to the Company’s CEO); and (e) this Separation Date Release will not be effective until the date upon which the revocation period has expired, which will be the eighth day after I sign this Separation Date Release (the “</w:t>
      </w:r>
      <w:r>
        <w:rPr>
          <w:rFonts w:ascii="Arial" w:cs="Arial" w:eastAsia="Arial" w:hAnsi="Arial"/>
          <w:sz w:val="21"/>
          <w:szCs w:val="21"/>
          <w:b w:val="1"/>
          <w:bCs w:val="1"/>
          <w:i w:val="1"/>
          <w:iCs w:val="1"/>
          <w:color w:val="auto"/>
        </w:rPr>
        <w:t>Separation Date Release Effective Date</w:t>
      </w:r>
      <w:r>
        <w:rPr>
          <w:rFonts w:ascii="Arial" w:cs="Arial" w:eastAsia="Arial" w:hAnsi="Arial"/>
          <w:sz w:val="21"/>
          <w:szCs w:val="21"/>
          <w:color w:val="auto"/>
        </w:rPr>
        <w:t>”).</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In giving the general release of claims herein, which includes claims that may be unknown to me at present, I acknowledge that I have read and understand Section 1542 of the California Civil Code, which reads as follows: </w:t>
      </w:r>
      <w:r>
        <w:rPr>
          <w:rFonts w:ascii="Arial" w:cs="Arial" w:eastAsia="Arial" w:hAnsi="Arial"/>
          <w:sz w:val="19"/>
          <w:szCs w:val="19"/>
          <w:b w:val="1"/>
          <w:bCs w:val="1"/>
          <w:color w:val="auto"/>
        </w:rPr>
        <w:t>“A general release does not extend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19"/>
          <w:szCs w:val="19"/>
          <w:color w:val="auto"/>
        </w:rPr>
        <w:t>I hereby expressly waive and relinquish all rights and benefits under that section and any law of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of similar effect with respect my release of any claims hereunder.</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Notwithstanding the foregoing, I acknowledge and understand that the following are not included in the Released Claims (the “</w:t>
      </w:r>
      <w:r>
        <w:rPr>
          <w:rFonts w:ascii="Arial" w:cs="Arial" w:eastAsia="Arial" w:hAnsi="Arial"/>
          <w:sz w:val="19"/>
          <w:szCs w:val="19"/>
          <w:b w:val="1"/>
          <w:bCs w:val="1"/>
          <w:i w:val="1"/>
          <w:iCs w:val="1"/>
          <w:color w:val="auto"/>
        </w:rPr>
        <w:t>Excluded Claims</w:t>
      </w:r>
      <w:r>
        <w:rPr>
          <w:rFonts w:ascii="Arial" w:cs="Arial" w:eastAsia="Arial" w:hAnsi="Arial"/>
          <w:sz w:val="19"/>
          <w:szCs w:val="19"/>
          <w:color w:val="auto"/>
        </w:rPr>
        <w:t>”): (i) any rights or claims for indemnification you may have pursuant to any written indemnification agreement with the Company to which you are a party or under applicable law; (ii) any rights that cannot be waived as a matter of law; (iii) any rights you have to file or pursue a claim for workers’ compensation or unemployment insurance; and (iv) any claims for breach of this Agreement.. I hereby represent and warrant that, other than the Excluded Claims, I am not aware of any claims I have or might have against any of the Released Parties that are not included in the Released Claims. I understand that nothing in this Agreement limits my ability to file a charge or complaint with any Government Agency. I further understand this Agreement does not limit my ability to communicate with any Government Agencies or otherwise participate in any investigation or proceeding that may be conducted by any Government Agency, including providing documents or other information, without notice to the Company. While this Agreement does not limit my right to receive an award for information provided to the Securities and Exchange Commission, I understand and agree that, to maximum extent permitted by law, I am otherwise waiving any and all rights I may have to individual relief based on any claims that I have released and any rights I have waived by signing this Agreement.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Separation Date Release, together with the Agreement and its exhibits, constitutes the entire agreement between me, and the Company with respect to the subject matter hereof. I am not relying on any representation not contained herein or in the Agreement.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NDERSTOOD</w:t>
      </w:r>
      <w:r>
        <w:rPr>
          <w:rFonts w:ascii="Arial" w:cs="Arial" w:eastAsia="Arial" w:hAnsi="Arial"/>
          <w:sz w:val="22"/>
          <w:szCs w:val="22"/>
          <w:b w:val="1"/>
          <w:bCs w:val="1"/>
          <w:color w:val="auto"/>
        </w:rPr>
        <w:t>, A</w:t>
      </w:r>
      <w:r>
        <w:rPr>
          <w:rFonts w:ascii="Arial" w:cs="Arial" w:eastAsia="Arial" w:hAnsi="Arial"/>
          <w:sz w:val="14"/>
          <w:szCs w:val="14"/>
          <w:b w:val="1"/>
          <w:bCs w:val="1"/>
          <w:color w:val="auto"/>
        </w:rPr>
        <w:t>CCEPTED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GREED</w:t>
      </w:r>
      <w:r>
        <w:rPr>
          <w:rFonts w:ascii="Arial" w:cs="Arial" w:eastAsia="Arial" w:hAnsi="Arial"/>
          <w:sz w:val="22"/>
          <w:szCs w:val="22"/>
          <w:b w:val="1"/>
          <w:bCs w:val="1"/>
          <w:color w:val="auto"/>
        </w:rPr>
        <w: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w:t>
      </w:r>
    </w:p>
    <w:p>
      <w:pPr>
        <w:spacing w:after="0" w:line="56" w:lineRule="exact"/>
        <w:rPr>
          <w:sz w:val="20"/>
          <w:szCs w:val="20"/>
          <w:color w:val="auto"/>
        </w:rPr>
      </w:pPr>
    </w:p>
    <w:p>
      <w:pPr>
        <w:sectPr>
          <w:pgSz w:w="11900" w:h="16838" w:orient="portrait"/>
          <w:cols w:equalWidth="0" w:num="2">
            <w:col w:w="7820" w:space="720"/>
            <w:col w:w="2700"/>
          </w:cols>
          <w:pgMar w:left="320" w:top="118" w:right="339" w:bottom="1440" w:gutter="0" w:footer="0" w:header="0"/>
          <w:type w:val="continuous"/>
        </w:sectPr>
      </w:pPr>
    </w:p>
    <w:p>
      <w:pPr>
        <w:spacing w:after="0"/>
        <w:rPr>
          <w:sz w:val="20"/>
          <w:szCs w:val="20"/>
          <w:color w:val="auto"/>
        </w:rPr>
      </w:pPr>
      <w:r>
        <w:rPr>
          <w:rFonts w:ascii="Arial" w:cs="Arial" w:eastAsia="Arial" w:hAnsi="Arial"/>
          <w:sz w:val="19"/>
          <w:szCs w:val="19"/>
          <w:color w:val="auto"/>
        </w:rPr>
        <w:t>Pat Cotroneo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ectPr>
          <w:pgSz w:w="11900" w:h="16838" w:orient="portrait"/>
          <w:cols w:equalWidth="0" w:num="2">
            <w:col w:w="4960" w:space="720"/>
            <w:col w:w="5560"/>
          </w:cols>
          <w:pgMar w:left="320" w:top="118" w:right="3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18" w:right="339"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Enrique Conterno, certify that:</w:t>
      </w:r>
    </w:p>
    <w:p>
      <w:pPr>
        <w:spacing w:after="0" w:line="117" w:lineRule="exact"/>
        <w:rPr>
          <w:sz w:val="20"/>
          <w:szCs w:val="20"/>
          <w:color w:val="auto"/>
        </w:rPr>
      </w:pPr>
    </w:p>
    <w:p>
      <w:pPr>
        <w:ind w:left="180" w:hanging="172"/>
        <w:spacing w:after="0"/>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8"/>
        <w:spacing w:after="0" w:line="263" w:lineRule="auto"/>
        <w:tabs>
          <w:tab w:leader="none" w:pos="76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00" w:firstLine="518"/>
        <w:spacing w:after="0" w:line="342" w:lineRule="auto"/>
        <w:tabs>
          <w:tab w:leader="none" w:pos="755"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60" w:firstLine="518"/>
        <w:spacing w:after="0" w:line="263" w:lineRule="auto"/>
        <w:tabs>
          <w:tab w:leader="none" w:pos="76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8"/>
        <w:spacing w:after="0" w:line="277" w:lineRule="auto"/>
        <w:tabs>
          <w:tab w:leader="none" w:pos="76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November 9,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Enrique Conterno</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Enrique Conterno</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Juan Graham, certify that:</w:t>
      </w:r>
    </w:p>
    <w:p>
      <w:pPr>
        <w:spacing w:after="0" w:line="117" w:lineRule="exact"/>
        <w:rPr>
          <w:sz w:val="20"/>
          <w:szCs w:val="20"/>
          <w:color w:val="auto"/>
        </w:rPr>
      </w:pPr>
    </w:p>
    <w:p>
      <w:pPr>
        <w:ind w:left="180" w:hanging="172"/>
        <w:spacing w:after="0"/>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8"/>
        <w:spacing w:after="0" w:line="263" w:lineRule="auto"/>
        <w:tabs>
          <w:tab w:leader="none" w:pos="76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00" w:firstLine="518"/>
        <w:spacing w:after="0" w:line="342" w:lineRule="auto"/>
        <w:tabs>
          <w:tab w:leader="none" w:pos="755"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60" w:firstLine="518"/>
        <w:spacing w:after="0" w:line="263" w:lineRule="auto"/>
        <w:tabs>
          <w:tab w:leader="none" w:pos="76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8"/>
        <w:spacing w:after="0" w:line="277" w:lineRule="auto"/>
        <w:tabs>
          <w:tab w:leader="none" w:pos="76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5"/>
          <w:szCs w:val="15"/>
          <w:color w:val="auto"/>
        </w:rPr>
        <w:t>/s/ Juan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Juan Graham</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(“Exchange Act”), and Section 1350 of Chapter 63 of Title 18 of the United States Code (18 U.S.C. §1350), Enrique Conterno, Chief Executive Officer of FibroGen, Inc. (“the Company”), and Juan Graham, Chief Financial Officer of the Company, each hereby certifies that, to the best of his knowledge:</w:t>
      </w:r>
    </w:p>
    <w:p>
      <w:pPr>
        <w:spacing w:after="0" w:line="165" w:lineRule="exact"/>
        <w:rPr>
          <w:sz w:val="20"/>
          <w:szCs w:val="20"/>
          <w:color w:val="auto"/>
        </w:rPr>
      </w:pPr>
    </w:p>
    <w:p>
      <w:pPr>
        <w:ind w:left="500" w:right="340" w:hanging="492"/>
        <w:spacing w:after="0" w:line="277" w:lineRule="auto"/>
        <w:tabs>
          <w:tab w:leader="none" w:pos="5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2021, to which this Certification is attached as Exhibit 32.1 (“Periodic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00" w:right="420" w:hanging="492"/>
        <w:spacing w:after="0" w:line="277" w:lineRule="auto"/>
        <w:tabs>
          <w:tab w:leader="none" w:pos="5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9</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/s/ Enrique Conterno</w:t>
            </w:r>
          </w:p>
        </w:tc>
        <w:tc>
          <w:tcPr>
            <w:tcW w:w="5040" w:type="dxa"/>
            <w:vAlign w:val="bottom"/>
          </w:tcPr>
          <w:p>
            <w:pPr>
              <w:spacing w:after="0"/>
              <w:rPr>
                <w:sz w:val="20"/>
                <w:szCs w:val="20"/>
                <w:color w:val="auto"/>
              </w:rPr>
            </w:pPr>
            <w:r>
              <w:rPr>
                <w:rFonts w:ascii="Arial" w:cs="Arial" w:eastAsia="Arial" w:hAnsi="Arial"/>
                <w:sz w:val="18"/>
                <w:szCs w:val="18"/>
                <w:color w:val="auto"/>
              </w:rPr>
              <w:t>/s/ Juan Graham</w:t>
            </w:r>
          </w:p>
        </w:tc>
      </w:tr>
      <w:tr>
        <w:trPr>
          <w:trHeight w:val="195"/>
        </w:trPr>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Enrique Conterno</w:t>
            </w:r>
          </w:p>
        </w:tc>
        <w:tc>
          <w:tcPr>
            <w:tcW w:w="11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Juan Graham</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5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1."/>
      <w:numFmt w:val="decimal"/>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1."/>
      <w:numFmt w:val="decimal"/>
      <w:start w:val="2"/>
    </w:lvl>
  </w:abstractNum>
  <w:abstractNum w:abstractNumId="17">
    <w:nsid w:val="94211F2"/>
    <w:multiLevelType w:val="hybridMultilevel"/>
    <w:lvl w:ilvl="0">
      <w:lvlJc w:val="left"/>
      <w:lvlText w:val="(%1)"/>
      <w:numFmt w:val="lowerRoman"/>
      <w:start w:val="1"/>
    </w:lvl>
  </w:abstractNum>
  <w:abstractNum w:abstractNumId="18">
    <w:nsid w:val="885E1B"/>
    <w:multiLevelType w:val="hybridMultilevel"/>
    <w:lvl w:ilvl="0">
      <w:lvlJc w:val="left"/>
      <w:lvlText w:val="(%1)"/>
      <w:numFmt w:val="lowerRoman"/>
      <w:start w:val="4"/>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1."/>
      <w:numFmt w:val="decimal"/>
      <w:start w:val="3"/>
    </w:lvl>
  </w:abstractNum>
  <w:abstractNum w:abstractNumId="22">
    <w:nsid w:val="14E17E33"/>
    <w:multiLevelType w:val="hybridMultilevel"/>
    <w:lvl w:ilvl="0">
      <w:lvlJc w:val="left"/>
      <w:lvlText w:val="%1."/>
      <w:numFmt w:val="decimal"/>
      <w:start w:val="4"/>
    </w:lvl>
  </w:abstractNum>
  <w:abstractNum w:abstractNumId="23">
    <w:nsid w:val="3222E7CD"/>
    <w:multiLevelType w:val="hybridMultilevel"/>
    <w:lvl w:ilvl="0">
      <w:lvlJc w:val="left"/>
      <w:lvlText w:val="%1."/>
      <w:numFmt w:val="decimal"/>
      <w:start w:val="5"/>
    </w:lvl>
  </w:abstractNum>
  <w:abstractNum w:abstractNumId="24">
    <w:nsid w:val="74DE0EE3"/>
    <w:multiLevelType w:val="hybridMultilevel"/>
    <w:lvl w:ilvl="0">
      <w:lvlJc w:val="left"/>
      <w:lvlText w:val="%1."/>
      <w:numFmt w:val="decimal"/>
      <w:start w:val="842"/>
    </w:lvl>
  </w:abstractNum>
  <w:abstractNum w:abstractNumId="25">
    <w:nsid w:val="68EBC550"/>
    <w:multiLevelType w:val="hybridMultilevel"/>
    <w:lvl w:ilvl="0">
      <w:lvlJc w:val="left"/>
      <w:lvlText w:val="%1."/>
      <w:numFmt w:val="decimal"/>
      <w:start w:val="7"/>
    </w:lvl>
  </w:abstractNum>
  <w:abstractNum w:abstractNumId="26">
    <w:nsid w:val="2DF6D648"/>
    <w:multiLevelType w:val="hybridMultilevel"/>
    <w:lvl w:ilvl="0">
      <w:lvlJc w:val="left"/>
      <w:lvlText w:val="%1."/>
      <w:numFmt w:val="decimal"/>
      <w:start w:val="8"/>
    </w:lvl>
  </w:abstractNum>
  <w:abstractNum w:abstractNumId="27">
    <w:nsid w:val="46B7D447"/>
    <w:multiLevelType w:val="hybridMultilevel"/>
    <w:lvl w:ilvl="0">
      <w:lvlJc w:val="left"/>
      <w:lvlText w:val="%1."/>
      <w:numFmt w:val="decimal"/>
      <w:start w:val="9"/>
    </w:lvl>
  </w:abstractNum>
  <w:abstractNum w:abstractNumId="28">
    <w:nsid w:val="4A2AC315"/>
    <w:multiLevelType w:val="hybridMultilevel"/>
    <w:lvl w:ilvl="0">
      <w:lvlJc w:val="left"/>
      <w:lvlText w:val="%1."/>
      <w:numFmt w:val="decimal"/>
      <w:start w:val="10"/>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
      <w:numFmt w:val="bullet"/>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1)"/>
      <w:numFmt w:val="lowerLetter"/>
      <w:start w:val="1"/>
    </w:lvl>
  </w:abstractNum>
  <w:abstractNum w:abstractNumId="80">
    <w:nsid w:val="379E21B5"/>
    <w:multiLevelType w:val="hybridMultilevel"/>
    <w:lvl w:ilvl="0">
      <w:lvlJc w:val="left"/>
      <w:lvlText w:val="[*]"/>
      <w:numFmt w:val="bullet"/>
      <w:start w:val="1"/>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1)"/>
      <w:numFmt w:val="lowerLetter"/>
      <w:start w:val="4"/>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1)"/>
      <w:numFmt w:val="lowerLetter"/>
      <w:start w:val="3"/>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1)"/>
      <w:numFmt w:val="lowerLetter"/>
      <w:start w:val="1"/>
    </w:lvl>
  </w:abstractNum>
  <w:abstractNum w:abstractNumId="87">
    <w:nsid w:val="3DD15094"/>
    <w:multiLevelType w:val="hybridMultilevel"/>
    <w:lvl w:ilvl="0">
      <w:lvlJc w:val="left"/>
      <w:lvlText w:val="(%1)"/>
      <w:numFmt w:val="lowerLetter"/>
      <w:start w:val="1"/>
    </w:lvl>
  </w:abstractNum>
  <w:abstractNum w:abstractNumId="88">
    <w:nsid w:val="3DB012B3"/>
    <w:multiLevelType w:val="hybridMultilevel"/>
    <w:lvl w:ilvl="0">
      <w:lvlJc w:val="left"/>
      <w:lvlText w:val="[*]"/>
      <w:numFmt w:val="bullet"/>
      <w:start w:val="1"/>
    </w:lvl>
  </w:abstractNum>
  <w:abstractNum w:abstractNumId="89">
    <w:nsid w:val="2708C9AF"/>
    <w:multiLevelType w:val="hybridMultilevel"/>
    <w:lvl w:ilvl="0">
      <w:lvlJc w:val="left"/>
      <w:lvlText w:val="[*]"/>
      <w:numFmt w:val="bullet"/>
      <w:start w:val="1"/>
    </w:lvl>
  </w:abstractNum>
  <w:abstractNum w:abstractNumId="90">
    <w:nsid w:val="5B25ACE2"/>
    <w:multiLevelType w:val="hybridMultilevel"/>
    <w:lvl w:ilvl="0">
      <w:lvlJc w:val="left"/>
      <w:lvlText w:val="[*]"/>
      <w:numFmt w:val="bullet"/>
      <w:start w:val="1"/>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
      <w:numFmt w:val="bullet"/>
      <w:start w:val="1"/>
    </w:lvl>
  </w:abstractNum>
  <w:abstractNum w:abstractNumId="93">
    <w:nsid w:val="53B0A9E"/>
    <w:multiLevelType w:val="hybridMultilevel"/>
    <w:lvl w:ilvl="0">
      <w:lvlJc w:val="left"/>
      <w:lvlText w:val="[*]"/>
      <w:numFmt w:val="bullet"/>
      <w:start w:val="1"/>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1)"/>
      <w:numFmt w:val="lowerRoman"/>
      <w:start w:val="1"/>
    </w:lvl>
  </w:abstractNum>
  <w:abstractNum w:abstractNumId="97">
    <w:nsid w:val="519E3149"/>
    <w:multiLevelType w:val="hybridMultilevel"/>
    <w:lvl w:ilvl="0">
      <w:lvlJc w:val="left"/>
      <w:lvlText w:val="[*]"/>
      <w:numFmt w:val="bullet"/>
      <w:start w:val="1"/>
    </w:lvl>
  </w:abstractNum>
  <w:abstractNum w:abstractNumId="98">
    <w:nsid w:val="2C6E4AFD"/>
    <w:multiLevelType w:val="hybridMultilevel"/>
    <w:lvl w:ilvl="0">
      <w:lvlJc w:val="left"/>
      <w:lvlText w:val="[*]"/>
      <w:numFmt w:val="bullet"/>
      <w:start w:val="1"/>
    </w:lvl>
  </w:abstractNum>
  <w:abstractNum w:abstractNumId="99">
    <w:nsid w:val="17A1B582"/>
    <w:multiLevelType w:val="hybridMultilevel"/>
    <w:lvl w:ilvl="0">
      <w:lvlJc w:val="left"/>
      <w:lvlText w:val="(%1)"/>
      <w:numFmt w:val="lowerLetter"/>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1)"/>
      <w:numFmt w:val="lowerLetter"/>
      <w:start w:val="3"/>
    </w:lvl>
  </w:abstractNum>
  <w:abstractNum w:abstractNumId="102">
    <w:nsid w:val="5D888A08"/>
    <w:multiLevelType w:val="hybridMultilevel"/>
    <w:lvl w:ilvl="0">
      <w:lvlJc w:val="left"/>
      <w:lvlText w:val="(%1)"/>
      <w:numFmt w:val="lowerLetter"/>
      <w:start w:val="4"/>
    </w:lvl>
  </w:abstractNum>
  <w:abstractNum w:abstractNumId="103">
    <w:nsid w:val="2A082C70"/>
    <w:multiLevelType w:val="hybridMultilevel"/>
    <w:lvl w:ilvl="0">
      <w:lvlJc w:val="left"/>
      <w:lvlText w:val="[*]"/>
      <w:numFmt w:val="bullet"/>
      <w:start w:val="1"/>
    </w:lvl>
  </w:abstractNum>
  <w:abstractNum w:abstractNumId="104">
    <w:nsid w:val="5EC6AFD4"/>
    <w:multiLevelType w:val="hybridMultilevel"/>
    <w:lvl w:ilvl="0">
      <w:lvlJc w:val="left"/>
      <w:lvlText w:val="(%1)"/>
      <w:numFmt w:val="lowerLetter"/>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1)"/>
      <w:numFmt w:val="lowerLetter"/>
      <w:start w:val="1"/>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1)"/>
      <w:numFmt w:val="upperLetter"/>
      <w:start w:val="61"/>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1)"/>
      <w:numFmt w:val="lowerLetter"/>
      <w:start w:val="1"/>
    </w:lvl>
  </w:abstractNum>
  <w:abstractNum w:abstractNumId="113">
    <w:nsid w:val="704E1DD5"/>
    <w:multiLevelType w:val="hybridMultilevel"/>
    <w:lvl w:ilvl="0">
      <w:lvlJc w:val="left"/>
      <w:lvlText w:val="[*]"/>
      <w:numFmt w:val="bullet"/>
      <w:start w:val="1"/>
    </w:lvl>
  </w:abstractNum>
  <w:abstractNum w:abstractNumId="114">
    <w:nsid w:val="57D2F10E"/>
    <w:multiLevelType w:val="hybridMultilevel"/>
    <w:lvl w:ilvl="0">
      <w:lvlJc w:val="left"/>
      <w:lvlText w:val="[*]"/>
      <w:numFmt w:val="bullet"/>
      <w:start w:val="1"/>
    </w:lvl>
  </w:abstractNum>
  <w:abstractNum w:abstractNumId="115">
    <w:nsid w:val="BFFAE18"/>
    <w:multiLevelType w:val="hybridMultilevel"/>
    <w:lvl w:ilvl="0">
      <w:lvlJc w:val="left"/>
      <w:lvlText w:val="[*]"/>
      <w:numFmt w:val="bullet"/>
      <w:start w:val="1"/>
    </w:lvl>
    <w:lvl w:ilvl="1">
      <w:lvlJc w:val="left"/>
      <w:lvlText w:val="(%2)"/>
      <w:numFmt w:val="lowerLetter"/>
      <w:start w:val="1"/>
    </w:lvl>
  </w:abstractNum>
  <w:abstractNum w:abstractNumId="116">
    <w:nsid w:val="E3E47A8"/>
    <w:multiLevelType w:val="hybridMultilevel"/>
    <w:lvl w:ilvl="0">
      <w:lvlJc w:val="left"/>
      <w:lvlText w:val="[*]"/>
      <w:numFmt w:val="bullet"/>
      <w:start w:val="1"/>
    </w:lvl>
    <w:lvl w:ilvl="1">
      <w:lvlJc w:val="left"/>
      <w:lvlText w:val="(%2)"/>
      <w:numFmt w:val="lowerLetter"/>
      <w:start w:val="2"/>
    </w:lvl>
  </w:abstractNum>
  <w:abstractNum w:abstractNumId="117">
    <w:nsid w:val="2E48F044"/>
    <w:multiLevelType w:val="hybridMultilevel"/>
    <w:lvl w:ilvl="0">
      <w:lvlJc w:val="left"/>
      <w:lvlText w:val="(%1)"/>
      <w:numFmt w:val="lowerLetter"/>
      <w:start w:val="1"/>
    </w:lvl>
  </w:abstractNum>
  <w:abstractNum w:abstractNumId="118">
    <w:nsid w:val="49D0FEAC"/>
    <w:multiLevelType w:val="hybridMultilevel"/>
    <w:lvl w:ilvl="0">
      <w:lvlJc w:val="left"/>
      <w:lvlText w:val="[*]"/>
      <w:numFmt w:val="bullet"/>
      <w:start w:val="1"/>
    </w:lvl>
  </w:abstractNum>
  <w:abstractNum w:abstractNumId="119">
    <w:nsid w:val="4BEE5A5B"/>
    <w:multiLevelType w:val="hybridMultilevel"/>
    <w:lvl w:ilvl="0">
      <w:lvlJc w:val="left"/>
      <w:lvlText w:val="(%1)"/>
      <w:numFmt w:val="lowerLetter"/>
      <w:start w:val="5"/>
    </w:lvl>
  </w:abstractNum>
  <w:abstractNum w:abstractNumId="120">
    <w:nsid w:val="5551B9F3"/>
    <w:multiLevelType w:val="hybridMultilevel"/>
    <w:lvl w:ilvl="0">
      <w:lvlJc w:val="left"/>
      <w:lvlText w:val="[*]"/>
      <w:numFmt w:val="bullet"/>
      <w:start w:val="1"/>
    </w:lvl>
  </w:abstractNum>
  <w:abstractNum w:abstractNumId="121">
    <w:nsid w:val="24F6AB8E"/>
    <w:multiLevelType w:val="hybridMultilevel"/>
    <w:lvl w:ilvl="0">
      <w:lvlJc w:val="left"/>
      <w:lvlText w:val="[*]"/>
      <w:numFmt w:val="bullet"/>
      <w:start w:val="1"/>
    </w:lvl>
  </w:abstractNum>
  <w:abstractNum w:abstractNumId="122">
    <w:nsid w:val="634C574C"/>
    <w:multiLevelType w:val="hybridMultilevel"/>
    <w:lvl w:ilvl="0">
      <w:lvlJc w:val="left"/>
      <w:lvlText w:val="[*]"/>
      <w:numFmt w:val="bullet"/>
      <w:start w:val="1"/>
    </w:lvl>
  </w:abstractNum>
  <w:abstractNum w:abstractNumId="123">
    <w:nsid w:val="24E99DD7"/>
    <w:multiLevelType w:val="hybridMultilevel"/>
    <w:lvl w:ilvl="0">
      <w:lvlJc w:val="left"/>
      <w:lvlText w:val="[*]"/>
      <w:numFmt w:val="bullet"/>
      <w:start w:val="1"/>
    </w:lvl>
  </w:abstractNum>
  <w:abstractNum w:abstractNumId="124">
    <w:nsid w:val="2A31B62D"/>
    <w:multiLevelType w:val="hybridMultilevel"/>
    <w:lvl w:ilvl="0">
      <w:lvlJc w:val="left"/>
      <w:lvlText w:val="[*]"/>
      <w:numFmt w:val="bullet"/>
      <w:start w:val="1"/>
    </w:lvl>
  </w:abstractNum>
  <w:abstractNum w:abstractNumId="125">
    <w:nsid w:val="1849C29B"/>
    <w:multiLevelType w:val="hybridMultilevel"/>
    <w:lvl w:ilvl="0">
      <w:lvlJc w:val="left"/>
      <w:lvlText w:val="[*]"/>
      <w:numFmt w:val="bullet"/>
      <w:start w:val="1"/>
    </w:lvl>
  </w:abstractNum>
  <w:abstractNum w:abstractNumId="126">
    <w:nsid w:val="7DFF9D09"/>
    <w:multiLevelType w:val="hybridMultilevel"/>
    <w:lvl w:ilvl="0">
      <w:lvlJc w:val="left"/>
      <w:lvlText w:val="[*]"/>
      <w:numFmt w:val="bullet"/>
      <w:start w:val="1"/>
    </w:lvl>
  </w:abstractNum>
  <w:abstractNum w:abstractNumId="127">
    <w:nsid w:val="754342"/>
    <w:multiLevelType w:val="hybridMultilevel"/>
    <w:lvl w:ilvl="0">
      <w:lvlJc w:val="left"/>
      <w:lvlText w:val="[*]"/>
      <w:numFmt w:val="bullet"/>
      <w:start w:val="1"/>
    </w:lvl>
  </w:abstractNum>
  <w:abstractNum w:abstractNumId="128">
    <w:nsid w:val="69E7F3E5"/>
    <w:multiLevelType w:val="hybridMultilevel"/>
    <w:lvl w:ilvl="0">
      <w:lvlJc w:val="left"/>
      <w:lvlText w:val="[*]"/>
      <w:numFmt w:val="bullet"/>
      <w:start w:val="1"/>
    </w:lvl>
  </w:abstractNum>
  <w:abstractNum w:abstractNumId="129">
    <w:nsid w:val="2A6DE806"/>
    <w:multiLevelType w:val="hybridMultilevel"/>
    <w:lvl w:ilvl="0">
      <w:lvlJc w:val="left"/>
      <w:lvlText w:val="[*]"/>
      <w:numFmt w:val="bullet"/>
      <w:start w:val="1"/>
    </w:lvl>
  </w:abstractNum>
  <w:abstractNum w:abstractNumId="130">
    <w:nsid w:val="1816F8C4"/>
    <w:multiLevelType w:val="hybridMultilevel"/>
    <w:lvl w:ilvl="0">
      <w:lvlJc w:val="left"/>
      <w:lvlText w:val="[*]"/>
      <w:numFmt w:val="bullet"/>
      <w:start w:val="1"/>
    </w:lvl>
  </w:abstractNum>
  <w:abstractNum w:abstractNumId="131">
    <w:nsid w:val="37DF2233"/>
    <w:multiLevelType w:val="hybridMultilevel"/>
    <w:lvl w:ilvl="0">
      <w:lvlJc w:val="left"/>
      <w:lvlText w:val="[*]"/>
      <w:numFmt w:val="bullet"/>
      <w:start w:val="1"/>
    </w:lvl>
  </w:abstractNum>
  <w:abstractNum w:abstractNumId="132">
    <w:nsid w:val="7AB49DAF"/>
    <w:multiLevelType w:val="hybridMultilevel"/>
    <w:lvl w:ilvl="0">
      <w:lvlJc w:val="left"/>
      <w:lvlText w:val="[*]"/>
      <w:numFmt w:val="bullet"/>
      <w:start w:val="1"/>
    </w:lvl>
  </w:abstractNum>
  <w:abstractNum w:abstractNumId="133">
    <w:nsid w:val="759F82CD"/>
    <w:multiLevelType w:val="hybridMultilevel"/>
    <w:lvl w:ilvl="0">
      <w:lvlJc w:val="left"/>
      <w:lvlText w:val="•"/>
      <w:numFmt w:val="bullet"/>
      <w:start w:val="1"/>
    </w:lvl>
  </w:abstractNum>
  <w:abstractNum w:abstractNumId="134">
    <w:nsid w:val="61E74EA3"/>
    <w:multiLevelType w:val="hybridMultilevel"/>
    <w:lvl w:ilvl="0">
      <w:lvlJc w:val="left"/>
      <w:lvlText w:val="[*]"/>
      <w:numFmt w:val="bullet"/>
      <w:start w:val="1"/>
    </w:lvl>
  </w:abstractNum>
  <w:abstractNum w:abstractNumId="135">
    <w:nsid w:val="597B4D84"/>
    <w:multiLevelType w:val="hybridMultilevel"/>
    <w:lvl w:ilvl="0">
      <w:lvlJc w:val="left"/>
      <w:lvlText w:val="[*]"/>
      <w:numFmt w:val="bullet"/>
      <w:start w:val="1"/>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1."/>
      <w:numFmt w:val="decimal"/>
      <w:start w:val="1"/>
    </w:lvl>
    <w:lvl w:ilvl="1">
      <w:lvlJc w:val="left"/>
      <w:lvlText w:val="•"/>
      <w:numFmt w:val="bullet"/>
      <w:start w:val="1"/>
    </w:lvl>
  </w:abstractNum>
  <w:abstractNum w:abstractNumId="138">
    <w:nsid w:val="312167AD"/>
    <w:multiLevelType w:val="hybridMultilevel"/>
    <w:lvl w:ilvl="0">
      <w:lvlJc w:val="left"/>
      <w:lvlText w:val="%1."/>
      <w:numFmt w:val="decimal"/>
      <w:start w:val="3"/>
    </w:lvl>
    <w:lvl w:ilvl="1">
      <w:lvlJc w:val="left"/>
      <w:lvlText w:val="%2."/>
      <w:numFmt w:val="lowerLetter"/>
      <w:start w:val="1"/>
    </w:lvl>
  </w:abstractNum>
  <w:abstractNum w:abstractNumId="139">
    <w:nsid w:val="631B64D4"/>
    <w:multiLevelType w:val="hybridMultilevel"/>
    <w:lvl w:ilvl="0">
      <w:lvlJc w:val="left"/>
      <w:lvlText w:val="%1."/>
      <w:numFmt w:val="decimal"/>
      <w:start w:val="10"/>
    </w:lvl>
  </w:abstractNum>
  <w:abstractNum w:abstractNumId="140">
    <w:nsid w:val="78B5E776"/>
    <w:multiLevelType w:val="hybridMultilevel"/>
    <w:lvl w:ilvl="0">
      <w:lvlJc w:val="left"/>
      <w:lvlText w:val="%1."/>
      <w:numFmt w:val="decimal"/>
      <w:start w:val="1"/>
    </w:lvl>
    <w:lvl w:ilvl="1">
      <w:lvlJc w:val="left"/>
      <w:lvlText w:val="%2."/>
      <w:numFmt w:val="lowerLetter"/>
      <w:start w:val="1"/>
    </w:lvl>
  </w:abstractNum>
  <w:abstractNum w:abstractNumId="141">
    <w:nsid w:val="75486E47"/>
    <w:multiLevelType w:val="hybridMultilevel"/>
    <w:lvl w:ilvl="0">
      <w:lvlJc w:val="left"/>
      <w:lvlText w:val="%1"/>
      <w:numFmt w:val="decimal"/>
      <w:start w:val="1"/>
    </w:lvl>
    <w:lvl w:ilvl="1">
      <w:lvlJc w:val="left"/>
      <w:lvlText w:val="%2."/>
      <w:numFmt w:val="lowerLetter"/>
      <w:start w:val="3"/>
    </w:lvl>
  </w:abstractNum>
  <w:abstractNum w:abstractNumId="142">
    <w:nsid w:val="6E534CDE"/>
    <w:multiLevelType w:val="hybridMultilevel"/>
    <w:lvl w:ilvl="0">
      <w:lvlJc w:val="left"/>
      <w:lvlText w:val="%1."/>
      <w:numFmt w:val="decimal"/>
      <w:start w:val="3"/>
    </w:lvl>
    <w:lvl w:ilvl="1">
      <w:lvlJc w:val="left"/>
      <w:lvlText w:val="%2"/>
      <w:numFmt w:val="lowerLetter"/>
      <w:start w:val="1"/>
    </w:lvl>
  </w:abstractNum>
  <w:abstractNum w:abstractNumId="143">
    <w:nsid w:val="1A0DDE32"/>
    <w:multiLevelType w:val="hybridMultilevel"/>
    <w:lvl w:ilvl="0">
      <w:lvlJc w:val="left"/>
      <w:lvlText w:val="%1."/>
      <w:numFmt w:val="lowerLetter"/>
      <w:start w:val="1"/>
    </w:lvl>
    <w:lvl w:ilvl="1">
      <w:lvlJc w:val="left"/>
      <w:lvlText w:val="(%2)"/>
      <w:numFmt w:val="lowerRoman"/>
      <w:start w:val="1"/>
    </w:lvl>
  </w:abstractNum>
  <w:abstractNum w:abstractNumId="144">
    <w:nsid w:val="65968C1C"/>
    <w:multiLevelType w:val="hybridMultilevel"/>
    <w:lvl w:ilvl="0">
      <w:lvlJc w:val="left"/>
      <w:lvlText w:val="%1"/>
      <w:numFmt w:val="decimal"/>
      <w:start w:val="1"/>
    </w:lvl>
    <w:lvl w:ilvl="1">
      <w:lvlJc w:val="left"/>
      <w:lvlText w:val="%2."/>
      <w:numFmt w:val="lowerLetter"/>
      <w:start w:val="4"/>
    </w:lvl>
  </w:abstractNum>
  <w:abstractNum w:abstractNumId="145">
    <w:nsid w:val="46263DEC"/>
    <w:multiLevelType w:val="hybridMultilevel"/>
    <w:lvl w:ilvl="0">
      <w:lvlJc w:val="left"/>
      <w:lvlText w:val="%1."/>
      <w:numFmt w:val="decimal"/>
      <w:start w:val="5"/>
    </w:lvl>
    <w:lvl w:ilvl="1">
      <w:lvlJc w:val="left"/>
      <w:lvlText w:val="%2"/>
      <w:numFmt w:val="lowerLetter"/>
      <w:start w:val="1"/>
    </w:lvl>
  </w:abstractNum>
  <w:abstractNum w:abstractNumId="146">
    <w:nsid w:val="260D8C4A"/>
    <w:multiLevelType w:val="hybridMultilevel"/>
    <w:lvl w:ilvl="0">
      <w:lvlJc w:val="left"/>
      <w:lvlText w:val="%1."/>
      <w:numFmt w:val="decimal"/>
      <w:start w:val="9"/>
    </w:lvl>
  </w:abstractNum>
  <w:abstractNum w:abstractNumId="147">
    <w:nsid w:val="73D4D3C4"/>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3"/>
    </w:lvl>
  </w:abstractNum>
  <w:abstractNum w:abstractNumId="148">
    <w:nsid w:val="746F2E30"/>
    <w:multiLevelType w:val="hybridMultilevel"/>
    <w:lvl w:ilvl="0">
      <w:lvlJc w:val="left"/>
      <w:lvlText w:val="%1"/>
      <w:numFmt w:val="decimal"/>
      <w:start w:val="1"/>
    </w:lvl>
    <w:lvl w:ilvl="1">
      <w:lvlJc w:val="left"/>
      <w:lvlText w:val="(%2)"/>
      <w:numFmt w:val="lowerLetter"/>
      <w:start w:val="4"/>
    </w:lvl>
  </w:abstractNum>
  <w:abstractNum w:abstractNumId="149">
    <w:nsid w:val="6FDE8AF6"/>
    <w:multiLevelType w:val="hybridMultilevel"/>
    <w:lvl w:ilvl="0">
      <w:lvlJc w:val="left"/>
      <w:lvlText w:val="%1."/>
      <w:numFmt w:val="decimal"/>
      <w:start w:val="13"/>
    </w:lvl>
    <w:lvl w:ilvl="1">
      <w:lvlJc w:val="left"/>
      <w:lvlText w:val="%2"/>
      <w:numFmt w:val="lowerLetter"/>
      <w:start w:val="1"/>
    </w:lvl>
  </w:abstractNum>
  <w:abstractNum w:abstractNumId="150">
    <w:nsid w:val="3FC32E20"/>
    <w:multiLevelType w:val="hybridMultilevel"/>
    <w:lvl w:ilvl="0">
      <w:lvlJc w:val="left"/>
      <w:lvlText w:val="%1."/>
      <w:numFmt w:val="decimal"/>
      <w:start w:val="15"/>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decimal"/>
      <w:start w:val="1"/>
    </w:lvl>
    <w:lvl w:ilvl="1">
      <w:lvlJc w:val="left"/>
      <w:lvlText w:val="(%2)"/>
      <w:numFmt w:val="lowerLetter"/>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jpeg"/><Relationship Id="rId165" Type="http://schemas.openxmlformats.org/officeDocument/2006/relationships/image" Target="media/image153.png"/><Relationship Id="rId166" Type="http://schemas.openxmlformats.org/officeDocument/2006/relationships/image" Target="media/image154.jpe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14" Type="http://schemas.openxmlformats.org/officeDocument/2006/relationships/hyperlink" Target="http://www.sec.gov/Archives/edgar/data/921299/000119312514420380/d824859dex31.htm" TargetMode="External"/><Relationship Id="rId115" Type="http://schemas.openxmlformats.org/officeDocument/2006/relationships/hyperlink" Target="http://www.sec.gov/Archives/edgar/data/921299/000119312514380087/d720189dex34.htm" TargetMode="External"/><Relationship Id="rId116" Type="http://schemas.openxmlformats.org/officeDocument/2006/relationships/hyperlink" Target="http://www.sec.gov/Archives/edgar/data/921299/000119312514420380/d824859dex41.htm" TargetMode="External"/><Relationship Id="rId117" Type="http://schemas.openxmlformats.org/officeDocument/2006/relationships/hyperlink" Target="http://www.sec.gov/Archives/edgar/data/0000921299/000156459017022738/fgen-ex46_97.htm" TargetMode="External"/><Relationship Id="rId118" Type="http://schemas.openxmlformats.org/officeDocument/2006/relationships/hyperlink" Target="http://www.sec.gov/Archives/edgar/data/0000921299/000119312514381669/d720189d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2021-11-09T16:45:33Z</dcterms:created>
  <dcterms:modified xsi:type="dcterms:W3CDTF">2021-11-09T16:45:33Z</dcterms:modified>
</cp:coreProperties>
</file>